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C07" w:rsidRPr="00790C07" w:rsidRDefault="00790C07" w:rsidP="00790C07">
      <w:pPr>
        <w:spacing w:before="100" w:beforeAutospacing="1" w:after="100" w:afterAutospacing="1" w:line="240" w:lineRule="auto"/>
        <w:outlineLvl w:val="0"/>
        <w:rPr>
          <w:rFonts w:ascii="Georgia" w:eastAsia="Times New Roman" w:hAnsi="Georgia" w:cs="Times New Roman"/>
          <w:b/>
          <w:bCs/>
          <w:color w:val="9B2D06"/>
          <w:kern w:val="36"/>
          <w:sz w:val="48"/>
          <w:szCs w:val="48"/>
        </w:rPr>
      </w:pPr>
      <w:r w:rsidRPr="00790C07">
        <w:rPr>
          <w:rFonts w:ascii="Georgia" w:eastAsia="Times New Roman" w:hAnsi="Georgia" w:cs="Times New Roman"/>
          <w:b/>
          <w:bCs/>
          <w:color w:val="9B2D06"/>
          <w:kern w:val="36"/>
          <w:sz w:val="48"/>
          <w:szCs w:val="48"/>
        </w:rPr>
        <w:br/>
        <w:t>T1D Risk Increased Following Influenza A H1N1 Diagnosis in Children</w:t>
      </w:r>
    </w:p>
    <w:p w:rsidR="00790C07" w:rsidRPr="00790C07" w:rsidRDefault="00790C07" w:rsidP="00790C07">
      <w:pPr>
        <w:spacing w:after="0" w:line="240" w:lineRule="auto"/>
        <w:rPr>
          <w:rFonts w:ascii="Times New Roman" w:eastAsia="Times New Roman" w:hAnsi="Times New Roman" w:cs="Times New Roman"/>
          <w:color w:val="666666"/>
          <w:sz w:val="24"/>
          <w:szCs w:val="24"/>
        </w:rPr>
      </w:pPr>
      <w:hyperlink r:id="rId5" w:history="1">
        <w:r w:rsidRPr="00790C07">
          <w:rPr>
            <w:rFonts w:ascii="Times New Roman" w:eastAsia="Times New Roman" w:hAnsi="Times New Roman" w:cs="Times New Roman"/>
            <w:b/>
            <w:bCs/>
            <w:color w:val="666666"/>
            <w:sz w:val="24"/>
            <w:szCs w:val="24"/>
            <w:u w:val="single"/>
          </w:rPr>
          <w:t>Nicole Clemons</w:t>
        </w:r>
      </w:hyperlink>
    </w:p>
    <w:p w:rsidR="00790C07" w:rsidRPr="00790C07" w:rsidRDefault="00790C07" w:rsidP="00790C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4445</wp:posOffset>
            </wp:positionV>
            <wp:extent cx="8191500" cy="5457825"/>
            <wp:effectExtent l="19050" t="0" r="0" b="0"/>
            <wp:wrapSquare wrapText="bothSides"/>
            <wp:docPr id="1" name="Picture 1" descr="Child receiving the influenza vac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receiving the influenza vaccine."/>
                    <pic:cNvPicPr>
                      <a:picLocks noChangeAspect="1" noChangeArrowheads="1"/>
                    </pic:cNvPicPr>
                  </pic:nvPicPr>
                  <pic:blipFill>
                    <a:blip r:embed="rId6"/>
                    <a:srcRect/>
                    <a:stretch>
                      <a:fillRect/>
                    </a:stretch>
                  </pic:blipFill>
                  <pic:spPr bwMode="auto">
                    <a:xfrm>
                      <a:off x="0" y="0"/>
                      <a:ext cx="8191500" cy="5457825"/>
                    </a:xfrm>
                    <a:prstGeom prst="rect">
                      <a:avLst/>
                    </a:prstGeom>
                    <a:noFill/>
                    <a:ln w="9525">
                      <a:noFill/>
                      <a:miter lim="800000"/>
                      <a:headEnd/>
                      <a:tailEnd/>
                    </a:ln>
                  </pic:spPr>
                </pic:pic>
              </a:graphicData>
            </a:graphic>
          </wp:anchor>
        </w:drawing>
      </w:r>
      <w:r w:rsidRPr="00790C07">
        <w:rPr>
          <w:rFonts w:ascii="Times New Roman" w:eastAsia="Times New Roman" w:hAnsi="Times New Roman" w:cs="Times New Roman"/>
          <w:sz w:val="24"/>
          <w:szCs w:val="24"/>
        </w:rPr>
        <w:t>Study participants younger than 30 years were tracked from 2009 to 2014.</w:t>
      </w:r>
    </w:p>
    <w:p w:rsidR="00790C07" w:rsidRPr="00790C07" w:rsidRDefault="00790C07" w:rsidP="00790C07">
      <w:pPr>
        <w:shd w:val="clear" w:color="auto" w:fill="FFFFFF"/>
        <w:spacing w:after="240" w:line="240" w:lineRule="auto"/>
        <w:rPr>
          <w:rFonts w:ascii="Arial" w:eastAsia="Times New Roman" w:hAnsi="Arial" w:cs="Arial"/>
          <w:color w:val="333333"/>
          <w:sz w:val="27"/>
          <w:szCs w:val="27"/>
        </w:rPr>
      </w:pPr>
      <w:r w:rsidRPr="00790C07">
        <w:rPr>
          <w:rFonts w:ascii="Arial" w:eastAsia="Times New Roman" w:hAnsi="Arial" w:cs="Arial"/>
          <w:color w:val="333333"/>
          <w:sz w:val="27"/>
          <w:szCs w:val="27"/>
        </w:rPr>
        <w:t xml:space="preserve">The 2009 pandemic influenza A H1N1 outbreak has been linked to an increased risk for new-onset type 1 diabetes (T1D) in children under the age of 15, according to a study presented at the 53rd European Association for the </w:t>
      </w:r>
      <w:r w:rsidRPr="00790C07">
        <w:rPr>
          <w:rFonts w:ascii="Arial" w:eastAsia="Times New Roman" w:hAnsi="Arial" w:cs="Arial"/>
          <w:color w:val="333333"/>
          <w:sz w:val="27"/>
          <w:szCs w:val="27"/>
        </w:rPr>
        <w:lastRenderedPageBreak/>
        <w:t>Study of Diabetes (EASD) Annual Meeting, held September 11-15 in Lisbon, Portugal.</w:t>
      </w:r>
    </w:p>
    <w:p w:rsidR="00790C07" w:rsidRPr="00790C07" w:rsidRDefault="00790C07" w:rsidP="00790C07">
      <w:pPr>
        <w:shd w:val="clear" w:color="auto" w:fill="FFFFFF"/>
        <w:spacing w:after="240" w:line="240" w:lineRule="auto"/>
        <w:rPr>
          <w:rFonts w:ascii="Arial" w:eastAsia="Times New Roman" w:hAnsi="Arial" w:cs="Arial"/>
          <w:color w:val="333333"/>
          <w:sz w:val="27"/>
          <w:szCs w:val="27"/>
        </w:rPr>
      </w:pPr>
      <w:r w:rsidRPr="00790C07">
        <w:rPr>
          <w:rFonts w:ascii="Arial" w:eastAsia="Times New Roman" w:hAnsi="Arial" w:cs="Arial"/>
          <w:color w:val="333333"/>
          <w:sz w:val="27"/>
          <w:szCs w:val="27"/>
        </w:rPr>
        <w:t>Researchers at the Norwegian Institute of Public Health conducted a nationwide study to test whether a pandemic influenza diagnosis was associated with an increased </w:t>
      </w:r>
      <w:hyperlink r:id="rId7" w:tgtFrame="_self" w:history="1">
        <w:r w:rsidRPr="00790C07">
          <w:rPr>
            <w:rFonts w:ascii="Arial" w:eastAsia="Times New Roman" w:hAnsi="Arial" w:cs="Arial"/>
            <w:color w:val="666666"/>
            <w:sz w:val="24"/>
            <w:szCs w:val="24"/>
            <w:u w:val="single"/>
          </w:rPr>
          <w:t>risk for T1D</w:t>
        </w:r>
      </w:hyperlink>
      <w:r w:rsidRPr="00790C07">
        <w:rPr>
          <w:rFonts w:ascii="Arial" w:eastAsia="Times New Roman" w:hAnsi="Arial" w:cs="Arial"/>
          <w:color w:val="333333"/>
          <w:sz w:val="27"/>
          <w:szCs w:val="27"/>
        </w:rPr>
        <w:t>. Using data from the Norwegian Patient Register, the study tracked participants under the age of 30 years from October 2009 to June 2014.</w:t>
      </w:r>
    </w:p>
    <w:p w:rsidR="00790C07" w:rsidRPr="00790C07" w:rsidRDefault="00790C07" w:rsidP="00790C07">
      <w:pPr>
        <w:shd w:val="clear" w:color="auto" w:fill="FFFFFF"/>
        <w:spacing w:after="240" w:line="240" w:lineRule="auto"/>
        <w:rPr>
          <w:rFonts w:ascii="Arial" w:eastAsia="Times New Roman" w:hAnsi="Arial" w:cs="Arial"/>
          <w:color w:val="333333"/>
          <w:sz w:val="27"/>
          <w:szCs w:val="27"/>
        </w:rPr>
      </w:pPr>
      <w:r w:rsidRPr="00790C07">
        <w:rPr>
          <w:rFonts w:ascii="Arial" w:eastAsia="Times New Roman" w:hAnsi="Arial" w:cs="Arial"/>
          <w:color w:val="333333"/>
          <w:sz w:val="27"/>
          <w:szCs w:val="27"/>
        </w:rPr>
        <w:t>Defining pandemic influenza as a clinical </w:t>
      </w:r>
      <w:hyperlink r:id="rId8" w:tgtFrame="_self" w:history="1">
        <w:r w:rsidRPr="00790C07">
          <w:rPr>
            <w:rFonts w:ascii="Arial" w:eastAsia="Times New Roman" w:hAnsi="Arial" w:cs="Arial"/>
            <w:color w:val="666666"/>
            <w:sz w:val="24"/>
            <w:szCs w:val="24"/>
            <w:u w:val="single"/>
          </w:rPr>
          <w:t>influenza of influenza-like illness</w:t>
        </w:r>
      </w:hyperlink>
      <w:r w:rsidRPr="00790C07">
        <w:rPr>
          <w:rFonts w:ascii="Arial" w:eastAsia="Times New Roman" w:hAnsi="Arial" w:cs="Arial"/>
          <w:color w:val="333333"/>
          <w:sz w:val="27"/>
          <w:szCs w:val="27"/>
        </w:rPr>
        <w:t> (ILI), the researchers identified 2297 participants diagnosed with T1D after the pandemic. Participants who registered with an ILI during the pandemic had an adjusted hazard ratio (aHR) for T1D of 1.18 (95% CI, 0.96-1.45). Using an age restriction of less than 15 years, aHR for T1D was significantly higher (1.34, 95% CI, 1.06-1.68).</w:t>
      </w:r>
    </w:p>
    <w:p w:rsidR="00790C07" w:rsidRPr="00790C07" w:rsidRDefault="00790C07" w:rsidP="00790C07">
      <w:pPr>
        <w:shd w:val="clear" w:color="auto" w:fill="FFFFFF"/>
        <w:spacing w:after="240" w:line="240" w:lineRule="auto"/>
        <w:rPr>
          <w:rFonts w:ascii="Arial" w:eastAsia="Times New Roman" w:hAnsi="Arial" w:cs="Arial"/>
          <w:color w:val="333333"/>
          <w:sz w:val="27"/>
          <w:szCs w:val="27"/>
        </w:rPr>
      </w:pPr>
      <w:r w:rsidRPr="00790C07">
        <w:rPr>
          <w:rFonts w:ascii="Arial" w:eastAsia="Times New Roman" w:hAnsi="Arial" w:cs="Arial"/>
          <w:color w:val="333333"/>
          <w:sz w:val="27"/>
          <w:szCs w:val="27"/>
        </w:rPr>
        <w:t>The researchers also found that laboratory-confirmed infection with influenza A H1N1or hospitalization with an influenza diagnosis were both associated with a significant 2-fold higher risk for T1D, compared with those diagnosed with ILI in the pandemic season.</w:t>
      </w:r>
    </w:p>
    <w:p w:rsidR="00790C07" w:rsidRPr="00790C07" w:rsidRDefault="00790C07" w:rsidP="00790C07">
      <w:pPr>
        <w:shd w:val="clear" w:color="auto" w:fill="FFFFFF"/>
        <w:spacing w:after="120" w:line="240" w:lineRule="auto"/>
        <w:outlineLvl w:val="1"/>
        <w:rPr>
          <w:rFonts w:ascii="Arial" w:eastAsia="Times New Roman" w:hAnsi="Arial" w:cs="Arial"/>
          <w:b/>
          <w:bCs/>
          <w:color w:val="9B2D06"/>
          <w:sz w:val="36"/>
          <w:szCs w:val="36"/>
        </w:rPr>
      </w:pPr>
      <w:r w:rsidRPr="00790C07">
        <w:rPr>
          <w:rFonts w:ascii="Arial" w:eastAsia="Times New Roman" w:hAnsi="Arial" w:cs="Arial"/>
          <w:b/>
          <w:bCs/>
          <w:color w:val="9B2D06"/>
          <w:sz w:val="36"/>
          <w:szCs w:val="36"/>
        </w:rPr>
        <w:t>Reference</w:t>
      </w:r>
    </w:p>
    <w:p w:rsidR="00790C07" w:rsidRPr="00790C07" w:rsidRDefault="00790C07" w:rsidP="00790C07">
      <w:pPr>
        <w:shd w:val="clear" w:color="auto" w:fill="FFFFFF"/>
        <w:spacing w:after="240" w:line="240" w:lineRule="auto"/>
        <w:rPr>
          <w:rFonts w:ascii="Arial" w:eastAsia="Times New Roman" w:hAnsi="Arial" w:cs="Arial"/>
          <w:color w:val="333333"/>
          <w:sz w:val="27"/>
          <w:szCs w:val="27"/>
        </w:rPr>
      </w:pPr>
      <w:r w:rsidRPr="00790C07">
        <w:rPr>
          <w:rFonts w:ascii="Arial" w:eastAsia="Times New Roman" w:hAnsi="Arial" w:cs="Arial"/>
          <w:color w:val="333333"/>
          <w:sz w:val="27"/>
          <w:szCs w:val="27"/>
        </w:rPr>
        <w:t>Ruiz PLD, Tapia, G, Bakken IJ, Håberg SE, Gulseth HL, Stene LC. Pandemic influenza diagnosis and subsequent risk of type 1 diabetes. Presented at: 53rd European Association for the Study of Diabetes Annual Meeting; September 11-15, 2017; Lisbon, Portugal. Abstract 363.  </w:t>
      </w:r>
    </w:p>
    <w:p w:rsidR="007D19C7" w:rsidRDefault="007D19C7"/>
    <w:sectPr w:rsidR="007D19C7" w:rsidSect="007D19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C271A"/>
    <w:multiLevelType w:val="multilevel"/>
    <w:tmpl w:val="93C4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130257"/>
    <w:multiLevelType w:val="multilevel"/>
    <w:tmpl w:val="E626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90C07"/>
    <w:rsid w:val="00790C07"/>
    <w:rsid w:val="007D1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9C7"/>
  </w:style>
  <w:style w:type="paragraph" w:styleId="Heading1">
    <w:name w:val="heading 1"/>
    <w:basedOn w:val="Normal"/>
    <w:link w:val="Heading1Char"/>
    <w:uiPriority w:val="9"/>
    <w:qFormat/>
    <w:rsid w:val="00790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90C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0C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C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90C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0C07"/>
    <w:rPr>
      <w:rFonts w:ascii="Times New Roman" w:eastAsia="Times New Roman" w:hAnsi="Times New Roman" w:cs="Times New Roman"/>
      <w:b/>
      <w:bCs/>
      <w:sz w:val="27"/>
      <w:szCs w:val="27"/>
    </w:rPr>
  </w:style>
  <w:style w:type="character" w:customStyle="1" w:styleId="name">
    <w:name w:val="name"/>
    <w:basedOn w:val="DefaultParagraphFont"/>
    <w:rsid w:val="00790C07"/>
  </w:style>
  <w:style w:type="character" w:styleId="Hyperlink">
    <w:name w:val="Hyperlink"/>
    <w:basedOn w:val="DefaultParagraphFont"/>
    <w:uiPriority w:val="99"/>
    <w:semiHidden/>
    <w:unhideWhenUsed/>
    <w:rsid w:val="00790C07"/>
    <w:rPr>
      <w:color w:val="0000FF"/>
      <w:u w:val="single"/>
    </w:rPr>
  </w:style>
  <w:style w:type="character" w:customStyle="1" w:styleId="screen-reader-text">
    <w:name w:val="screen-reader-text"/>
    <w:basedOn w:val="DefaultParagraphFont"/>
    <w:rsid w:val="00790C07"/>
  </w:style>
  <w:style w:type="paragraph" w:styleId="NormalWeb">
    <w:name w:val="Normal (Web)"/>
    <w:basedOn w:val="Normal"/>
    <w:uiPriority w:val="99"/>
    <w:semiHidden/>
    <w:unhideWhenUsed/>
    <w:rsid w:val="00790C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0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9056898">
      <w:bodyDiv w:val="1"/>
      <w:marLeft w:val="0"/>
      <w:marRight w:val="0"/>
      <w:marTop w:val="0"/>
      <w:marBottom w:val="0"/>
      <w:divBdr>
        <w:top w:val="none" w:sz="0" w:space="0" w:color="auto"/>
        <w:left w:val="none" w:sz="0" w:space="0" w:color="auto"/>
        <w:bottom w:val="none" w:sz="0" w:space="0" w:color="auto"/>
        <w:right w:val="none" w:sz="0" w:space="0" w:color="auto"/>
      </w:divBdr>
      <w:divsChild>
        <w:div w:id="816805350">
          <w:marLeft w:val="0"/>
          <w:marRight w:val="0"/>
          <w:marTop w:val="0"/>
          <w:marBottom w:val="0"/>
          <w:divBdr>
            <w:top w:val="none" w:sz="0" w:space="0" w:color="auto"/>
            <w:left w:val="none" w:sz="0" w:space="0" w:color="auto"/>
            <w:bottom w:val="none" w:sz="0" w:space="0" w:color="auto"/>
            <w:right w:val="none" w:sz="0" w:space="0" w:color="auto"/>
          </w:divBdr>
          <w:divsChild>
            <w:div w:id="1101334253">
              <w:marLeft w:val="0"/>
              <w:marRight w:val="0"/>
              <w:marTop w:val="0"/>
              <w:marBottom w:val="0"/>
              <w:divBdr>
                <w:top w:val="none" w:sz="0" w:space="0" w:color="auto"/>
                <w:left w:val="none" w:sz="0" w:space="0" w:color="auto"/>
                <w:bottom w:val="none" w:sz="0" w:space="0" w:color="auto"/>
                <w:right w:val="none" w:sz="0" w:space="0" w:color="auto"/>
              </w:divBdr>
              <w:divsChild>
                <w:div w:id="236671420">
                  <w:marLeft w:val="0"/>
                  <w:marRight w:val="0"/>
                  <w:marTop w:val="0"/>
                  <w:marBottom w:val="0"/>
                  <w:divBdr>
                    <w:top w:val="none" w:sz="0" w:space="0" w:color="auto"/>
                    <w:left w:val="none" w:sz="0" w:space="0" w:color="auto"/>
                    <w:bottom w:val="none" w:sz="0" w:space="0" w:color="auto"/>
                    <w:right w:val="none" w:sz="0" w:space="0" w:color="auto"/>
                  </w:divBdr>
                  <w:divsChild>
                    <w:div w:id="14518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9457">
          <w:marLeft w:val="0"/>
          <w:marRight w:val="0"/>
          <w:marTop w:val="0"/>
          <w:marBottom w:val="0"/>
          <w:divBdr>
            <w:top w:val="none" w:sz="0" w:space="0" w:color="auto"/>
            <w:left w:val="none" w:sz="0" w:space="0" w:color="auto"/>
            <w:bottom w:val="none" w:sz="0" w:space="0" w:color="auto"/>
            <w:right w:val="none" w:sz="0" w:space="0" w:color="auto"/>
          </w:divBdr>
        </w:div>
        <w:div w:id="1866794711">
          <w:marLeft w:val="0"/>
          <w:marRight w:val="0"/>
          <w:marTop w:val="0"/>
          <w:marBottom w:val="0"/>
          <w:divBdr>
            <w:top w:val="none" w:sz="0" w:space="0" w:color="auto"/>
            <w:left w:val="none" w:sz="0" w:space="0" w:color="auto"/>
            <w:bottom w:val="none" w:sz="0" w:space="0" w:color="auto"/>
            <w:right w:val="none" w:sz="0" w:space="0" w:color="auto"/>
          </w:divBdr>
        </w:div>
        <w:div w:id="1891530042">
          <w:marLeft w:val="0"/>
          <w:marRight w:val="0"/>
          <w:marTop w:val="0"/>
          <w:marBottom w:val="0"/>
          <w:divBdr>
            <w:top w:val="none" w:sz="0" w:space="0" w:color="auto"/>
            <w:left w:val="none" w:sz="0" w:space="0" w:color="auto"/>
            <w:bottom w:val="none" w:sz="0" w:space="0" w:color="auto"/>
            <w:right w:val="none" w:sz="0" w:space="0" w:color="auto"/>
          </w:divBdr>
          <w:divsChild>
            <w:div w:id="10648914">
              <w:marLeft w:val="0"/>
              <w:marRight w:val="0"/>
              <w:marTop w:val="0"/>
              <w:marBottom w:val="0"/>
              <w:divBdr>
                <w:top w:val="none" w:sz="0" w:space="0" w:color="auto"/>
                <w:left w:val="none" w:sz="0" w:space="0" w:color="auto"/>
                <w:bottom w:val="none" w:sz="0" w:space="0" w:color="auto"/>
                <w:right w:val="none" w:sz="0" w:space="0" w:color="auto"/>
              </w:divBdr>
              <w:divsChild>
                <w:div w:id="976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docrinologyadvisor.com/home/topics/obesity/influenza-influenza-like-illness-risk-up-with-obesity/" TargetMode="External"/><Relationship Id="rId3" Type="http://schemas.openxmlformats.org/officeDocument/2006/relationships/settings" Target="settings.xml"/><Relationship Id="rId7" Type="http://schemas.openxmlformats.org/officeDocument/2006/relationships/hyperlink" Target="https://www.endocrinologyadvisor.com/home/conference-highlights/easd-2017/genetic-influence-for-late-in-life-t1d-examin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ndocrinologyadvisor.com/author/nicole-clem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ASIF ALI</dc:creator>
  <cp:lastModifiedBy>MALIK ASIF ALI</cp:lastModifiedBy>
  <cp:revision>2</cp:revision>
  <dcterms:created xsi:type="dcterms:W3CDTF">2019-02-22T06:04:00Z</dcterms:created>
  <dcterms:modified xsi:type="dcterms:W3CDTF">2019-02-22T06:04:00Z</dcterms:modified>
</cp:coreProperties>
</file>