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80" w:rsidRPr="004B5E80" w:rsidRDefault="004B5E80" w:rsidP="004B5E80">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4B5E80">
        <w:rPr>
          <w:rFonts w:ascii="Georgia" w:eastAsia="Times New Roman" w:hAnsi="Georgia" w:cs="Times New Roman"/>
          <w:b/>
          <w:bCs/>
          <w:color w:val="9B2D06"/>
          <w:kern w:val="36"/>
          <w:sz w:val="48"/>
          <w:szCs w:val="48"/>
        </w:rPr>
        <w:br/>
        <w:t>Single Diagnostic Threshold May Not Be Feasible for Gestational Diabetes</w:t>
      </w:r>
    </w:p>
    <w:p w:rsidR="004B5E80" w:rsidRPr="004B5E80" w:rsidRDefault="004B5E80" w:rsidP="004B5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2540</wp:posOffset>
            </wp:positionV>
            <wp:extent cx="8191500" cy="5457825"/>
            <wp:effectExtent l="19050" t="0" r="0" b="0"/>
            <wp:wrapSquare wrapText="bothSides"/>
            <wp:docPr id="1" name="Picture 1" descr="pregnant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gnant woman"/>
                    <pic:cNvPicPr>
                      <a:picLocks noChangeAspect="1" noChangeArrowheads="1"/>
                    </pic:cNvPicPr>
                  </pic:nvPicPr>
                  <pic:blipFill>
                    <a:blip r:embed="rId5"/>
                    <a:srcRect/>
                    <a:stretch>
                      <a:fillRect/>
                    </a:stretch>
                  </pic:blipFill>
                  <pic:spPr bwMode="auto">
                    <a:xfrm>
                      <a:off x="0" y="0"/>
                      <a:ext cx="8191500" cy="5457825"/>
                    </a:xfrm>
                    <a:prstGeom prst="rect">
                      <a:avLst/>
                    </a:prstGeom>
                    <a:noFill/>
                    <a:ln w="9525">
                      <a:noFill/>
                      <a:miter lim="800000"/>
                      <a:headEnd/>
                      <a:tailEnd/>
                    </a:ln>
                  </pic:spPr>
                </pic:pic>
              </a:graphicData>
            </a:graphic>
          </wp:anchor>
        </w:drawing>
      </w:r>
      <w:r w:rsidRPr="004B5E80">
        <w:rPr>
          <w:rFonts w:ascii="Times New Roman" w:eastAsia="Times New Roman" w:hAnsi="Times New Roman" w:cs="Times New Roman"/>
          <w:sz w:val="24"/>
          <w:szCs w:val="24"/>
        </w:rPr>
        <w:t>Diagnostic thresholds should be adapted using local populations.</w:t>
      </w:r>
    </w:p>
    <w:p w:rsidR="004B5E80" w:rsidRPr="004B5E80" w:rsidRDefault="004B5E80" w:rsidP="004B5E80">
      <w:pPr>
        <w:shd w:val="clear" w:color="auto" w:fill="FFFFFF"/>
        <w:spacing w:after="240" w:line="240" w:lineRule="auto"/>
        <w:rPr>
          <w:rFonts w:ascii="Arial" w:eastAsia="Times New Roman" w:hAnsi="Arial" w:cs="Arial"/>
          <w:color w:val="333333"/>
          <w:sz w:val="27"/>
          <w:szCs w:val="27"/>
        </w:rPr>
      </w:pPr>
      <w:r w:rsidRPr="004B5E80">
        <w:rPr>
          <w:rFonts w:ascii="Arial" w:eastAsia="Times New Roman" w:hAnsi="Arial" w:cs="Arial"/>
          <w:color w:val="333333"/>
          <w:sz w:val="27"/>
          <w:szCs w:val="27"/>
        </w:rPr>
        <w:t>HealthDay News — Uniform application of gestational diabetes mellitus </w:t>
      </w:r>
      <w:hyperlink r:id="rId6" w:tgtFrame="_self" w:history="1">
        <w:r w:rsidRPr="004B5E80">
          <w:rPr>
            <w:rFonts w:ascii="Arial" w:eastAsia="Times New Roman" w:hAnsi="Arial" w:cs="Arial"/>
            <w:color w:val="666666"/>
            <w:sz w:val="24"/>
            <w:szCs w:val="24"/>
            <w:u w:val="single"/>
          </w:rPr>
          <w:t>diagnostic thresholds</w:t>
        </w:r>
      </w:hyperlink>
      <w:r w:rsidRPr="004B5E80">
        <w:rPr>
          <w:rFonts w:ascii="Arial" w:eastAsia="Times New Roman" w:hAnsi="Arial" w:cs="Arial"/>
          <w:color w:val="333333"/>
          <w:sz w:val="27"/>
          <w:szCs w:val="27"/>
        </w:rPr>
        <w:t>may not be appropriate in populations across the world, according to a study published in the July issue of </w:t>
      </w:r>
      <w:r w:rsidRPr="004B5E80">
        <w:rPr>
          <w:rFonts w:ascii="Arial" w:eastAsia="Times New Roman" w:hAnsi="Arial" w:cs="Arial"/>
          <w:i/>
          <w:iCs/>
          <w:color w:val="333333"/>
          <w:sz w:val="27"/>
          <w:szCs w:val="27"/>
        </w:rPr>
        <w:t>Diabetes Care</w:t>
      </w:r>
      <w:r w:rsidRPr="004B5E80">
        <w:rPr>
          <w:rFonts w:ascii="Arial" w:eastAsia="Times New Roman" w:hAnsi="Arial" w:cs="Arial"/>
          <w:color w:val="333333"/>
          <w:sz w:val="27"/>
          <w:szCs w:val="27"/>
        </w:rPr>
        <w:t>.</w:t>
      </w:r>
    </w:p>
    <w:p w:rsidR="004B5E80" w:rsidRPr="004B5E80" w:rsidRDefault="004B5E80" w:rsidP="004B5E80">
      <w:pPr>
        <w:shd w:val="clear" w:color="auto" w:fill="FFFFFF"/>
        <w:spacing w:after="240" w:line="240" w:lineRule="auto"/>
        <w:rPr>
          <w:rFonts w:ascii="Arial" w:eastAsia="Times New Roman" w:hAnsi="Arial" w:cs="Arial"/>
          <w:color w:val="333333"/>
          <w:sz w:val="27"/>
          <w:szCs w:val="27"/>
        </w:rPr>
      </w:pPr>
      <w:r w:rsidRPr="004B5E80">
        <w:rPr>
          <w:rFonts w:ascii="Arial" w:eastAsia="Times New Roman" w:hAnsi="Arial" w:cs="Arial"/>
          <w:color w:val="333333"/>
          <w:sz w:val="27"/>
          <w:szCs w:val="27"/>
        </w:rPr>
        <w:t xml:space="preserve">H. David McIntyre, M.D., from the University of Queensland in South Brisbane, Australia, and colleagues sought to define the prevalence and pregnancy outcomes related to elevated fasting venous plasma glucose </w:t>
      </w:r>
      <w:r w:rsidRPr="004B5E80">
        <w:rPr>
          <w:rFonts w:ascii="Arial" w:eastAsia="Times New Roman" w:hAnsi="Arial" w:cs="Arial"/>
          <w:color w:val="333333"/>
          <w:sz w:val="27"/>
          <w:szCs w:val="27"/>
        </w:rPr>
        <w:lastRenderedPageBreak/>
        <w:t>(FVPG; measured at 28 weeks’ gestation) in a Danish pregnancy cohort of 1,516 women without GDM by Danish criteria</w:t>
      </w:r>
    </w:p>
    <w:p w:rsidR="004B5E80" w:rsidRPr="004B5E80" w:rsidRDefault="004B5E80" w:rsidP="004B5E80">
      <w:pPr>
        <w:shd w:val="clear" w:color="auto" w:fill="FFFFFF"/>
        <w:spacing w:after="240" w:line="240" w:lineRule="auto"/>
        <w:rPr>
          <w:rFonts w:ascii="Arial" w:eastAsia="Times New Roman" w:hAnsi="Arial" w:cs="Arial"/>
          <w:color w:val="333333"/>
          <w:sz w:val="27"/>
          <w:szCs w:val="27"/>
        </w:rPr>
      </w:pPr>
      <w:r w:rsidRPr="004B5E80">
        <w:rPr>
          <w:rFonts w:ascii="Arial" w:eastAsia="Times New Roman" w:hAnsi="Arial" w:cs="Arial"/>
          <w:color w:val="333333"/>
          <w:sz w:val="27"/>
          <w:szCs w:val="27"/>
        </w:rPr>
        <w:t>The researchers found that with use of the World Health Organization (WHO) 2013 threshold of FVPG ≥5.1 mmol/L, 40.1 percent of the cohort qualified as having GDM despite no evidence of excess fetal growth, hypertension in pregnancy, or cesarean </w:t>
      </w:r>
      <w:hyperlink r:id="rId7" w:tgtFrame="_self" w:history="1">
        <w:r w:rsidRPr="004B5E80">
          <w:rPr>
            <w:rFonts w:ascii="Arial" w:eastAsia="Times New Roman" w:hAnsi="Arial" w:cs="Arial"/>
            <w:color w:val="666666"/>
            <w:sz w:val="24"/>
            <w:szCs w:val="24"/>
            <w:u w:val="single"/>
          </w:rPr>
          <w:t>delivery in women</w:t>
        </w:r>
      </w:hyperlink>
      <w:r w:rsidRPr="004B5E80">
        <w:rPr>
          <w:rFonts w:ascii="Arial" w:eastAsia="Times New Roman" w:hAnsi="Arial" w:cs="Arial"/>
          <w:color w:val="333333"/>
          <w:sz w:val="27"/>
          <w:szCs w:val="27"/>
        </w:rPr>
        <w:t> with FVPG &lt;5.6 mmol/L.</w:t>
      </w:r>
    </w:p>
    <w:p w:rsidR="004B5E80" w:rsidRPr="004B5E80" w:rsidRDefault="004B5E80" w:rsidP="004B5E80">
      <w:pPr>
        <w:shd w:val="clear" w:color="auto" w:fill="FFFFFF"/>
        <w:spacing w:after="240" w:line="240" w:lineRule="auto"/>
        <w:rPr>
          <w:rFonts w:ascii="Arial" w:eastAsia="Times New Roman" w:hAnsi="Arial" w:cs="Arial"/>
          <w:color w:val="333333"/>
          <w:sz w:val="27"/>
          <w:szCs w:val="27"/>
        </w:rPr>
      </w:pPr>
      <w:r w:rsidRPr="004B5E80">
        <w:rPr>
          <w:rFonts w:ascii="Arial" w:eastAsia="Times New Roman" w:hAnsi="Arial" w:cs="Arial"/>
          <w:color w:val="333333"/>
          <w:sz w:val="27"/>
          <w:szCs w:val="27"/>
        </w:rPr>
        <w:t>“The WHO 2013 FVPG threshold for GDM is unsuitable for Denmark,” the authors write. “It inappropriately labels as having GDM an unmanageably large number of women who are at low absolute risk of pregnancy complications.”</w:t>
      </w:r>
    </w:p>
    <w:p w:rsidR="004B5E80" w:rsidRPr="004B5E80" w:rsidRDefault="004B5E80" w:rsidP="004B5E80">
      <w:pPr>
        <w:shd w:val="clear" w:color="auto" w:fill="FFFFFF"/>
        <w:spacing w:after="240" w:line="240" w:lineRule="auto"/>
        <w:rPr>
          <w:rFonts w:ascii="Arial" w:eastAsia="Times New Roman" w:hAnsi="Arial" w:cs="Arial"/>
          <w:color w:val="333333"/>
          <w:sz w:val="27"/>
          <w:szCs w:val="27"/>
        </w:rPr>
      </w:pPr>
      <w:r w:rsidRPr="004B5E80">
        <w:rPr>
          <w:rFonts w:ascii="Arial" w:eastAsia="Times New Roman" w:hAnsi="Arial" w:cs="Arial"/>
          <w:color w:val="333333"/>
          <w:sz w:val="27"/>
          <w:szCs w:val="27"/>
        </w:rPr>
        <w:t>Several authors disclosed financial ties to the pharmaceutical industry.</w:t>
      </w:r>
    </w:p>
    <w:p w:rsidR="004B5E80" w:rsidRPr="004B5E80" w:rsidRDefault="004B5E80" w:rsidP="004B5E80">
      <w:pPr>
        <w:shd w:val="clear" w:color="auto" w:fill="F5F5F5"/>
        <w:spacing w:after="120" w:line="240" w:lineRule="auto"/>
        <w:outlineLvl w:val="2"/>
        <w:rPr>
          <w:rFonts w:ascii="Georgia" w:eastAsia="Times New Roman" w:hAnsi="Georgia" w:cs="Arial"/>
          <w:b/>
          <w:bCs/>
          <w:color w:val="9B2D06"/>
          <w:sz w:val="27"/>
          <w:szCs w:val="27"/>
        </w:rPr>
      </w:pPr>
      <w:r w:rsidRPr="004B5E80">
        <w:rPr>
          <w:rFonts w:ascii="Georgia" w:eastAsia="Times New Roman" w:hAnsi="Georgia" w:cs="Arial"/>
          <w:b/>
          <w:bCs/>
          <w:color w:val="9B2D06"/>
          <w:sz w:val="27"/>
          <w:szCs w:val="27"/>
        </w:rPr>
        <w:t>Related Articles</w:t>
      </w:r>
    </w:p>
    <w:p w:rsidR="004B5E80" w:rsidRPr="004B5E80" w:rsidRDefault="004B5E80" w:rsidP="004B5E80">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8" w:history="1">
        <w:r w:rsidRPr="004B5E80">
          <w:rPr>
            <w:rFonts w:ascii="Arial" w:eastAsia="Times New Roman" w:hAnsi="Arial" w:cs="Arial"/>
            <w:color w:val="666666"/>
            <w:sz w:val="24"/>
            <w:szCs w:val="24"/>
            <w:u w:val="single"/>
          </w:rPr>
          <w:t>Thyroid Markers Predicting Gestational Diabetes Risk Identified</w:t>
        </w:r>
      </w:hyperlink>
    </w:p>
    <w:p w:rsidR="004B5E80" w:rsidRPr="004B5E80" w:rsidRDefault="004B5E80" w:rsidP="004B5E80">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9" w:history="1">
        <w:r w:rsidRPr="004B5E80">
          <w:rPr>
            <w:rFonts w:ascii="Arial" w:eastAsia="Times New Roman" w:hAnsi="Arial" w:cs="Arial"/>
            <w:color w:val="666666"/>
            <w:sz w:val="24"/>
            <w:szCs w:val="24"/>
            <w:u w:val="single"/>
          </w:rPr>
          <w:t>Contribution of Low-Severity Gestational Diabetes Mellitus on the Diabetes Epidemic</w:t>
        </w:r>
      </w:hyperlink>
    </w:p>
    <w:p w:rsidR="004B5E80" w:rsidRPr="004B5E80" w:rsidRDefault="004B5E80" w:rsidP="004B5E80">
      <w:pPr>
        <w:numPr>
          <w:ilvl w:val="0"/>
          <w:numId w:val="2"/>
        </w:numPr>
        <w:shd w:val="clear" w:color="auto" w:fill="F5F5F5"/>
        <w:spacing w:before="100" w:beforeAutospacing="1" w:after="0" w:line="240" w:lineRule="auto"/>
        <w:ind w:left="0"/>
        <w:rPr>
          <w:rFonts w:ascii="Arial" w:eastAsia="Times New Roman" w:hAnsi="Arial" w:cs="Arial"/>
          <w:color w:val="333333"/>
          <w:sz w:val="27"/>
          <w:szCs w:val="27"/>
        </w:rPr>
      </w:pPr>
      <w:hyperlink r:id="rId10" w:history="1">
        <w:r w:rsidRPr="004B5E80">
          <w:rPr>
            <w:rFonts w:ascii="Arial" w:eastAsia="Times New Roman" w:hAnsi="Arial" w:cs="Arial"/>
            <w:color w:val="666666"/>
            <w:sz w:val="24"/>
            <w:szCs w:val="24"/>
            <w:u w:val="single"/>
          </w:rPr>
          <w:t>Tailored Letter May Improve Gestational Weight Gain in Gestational Diabetes</w:t>
        </w:r>
      </w:hyperlink>
    </w:p>
    <w:p w:rsidR="00E82FC8" w:rsidRDefault="00E82FC8"/>
    <w:sectPr w:rsidR="00E82FC8" w:rsidSect="00E82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E03"/>
    <w:multiLevelType w:val="multilevel"/>
    <w:tmpl w:val="A94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C2849"/>
    <w:multiLevelType w:val="multilevel"/>
    <w:tmpl w:val="87BA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5E80"/>
    <w:rsid w:val="004B5E80"/>
    <w:rsid w:val="00E82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C8"/>
  </w:style>
  <w:style w:type="paragraph" w:styleId="Heading1">
    <w:name w:val="heading 1"/>
    <w:basedOn w:val="Normal"/>
    <w:link w:val="Heading1Char"/>
    <w:uiPriority w:val="9"/>
    <w:qFormat/>
    <w:rsid w:val="004B5E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B5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B5E8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B5E80"/>
    <w:rPr>
      <w:color w:val="0000FF"/>
      <w:u w:val="single"/>
    </w:rPr>
  </w:style>
  <w:style w:type="character" w:customStyle="1" w:styleId="screen-reader-text">
    <w:name w:val="screen-reader-text"/>
    <w:basedOn w:val="DefaultParagraphFont"/>
    <w:rsid w:val="004B5E80"/>
  </w:style>
  <w:style w:type="paragraph" w:styleId="NormalWeb">
    <w:name w:val="Normal (Web)"/>
    <w:basedOn w:val="Normal"/>
    <w:uiPriority w:val="99"/>
    <w:semiHidden/>
    <w:unhideWhenUsed/>
    <w:rsid w:val="004B5E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5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400696">
      <w:bodyDiv w:val="1"/>
      <w:marLeft w:val="0"/>
      <w:marRight w:val="0"/>
      <w:marTop w:val="0"/>
      <w:marBottom w:val="0"/>
      <w:divBdr>
        <w:top w:val="none" w:sz="0" w:space="0" w:color="auto"/>
        <w:left w:val="none" w:sz="0" w:space="0" w:color="auto"/>
        <w:bottom w:val="none" w:sz="0" w:space="0" w:color="auto"/>
        <w:right w:val="none" w:sz="0" w:space="0" w:color="auto"/>
      </w:divBdr>
      <w:divsChild>
        <w:div w:id="953705440">
          <w:marLeft w:val="0"/>
          <w:marRight w:val="0"/>
          <w:marTop w:val="0"/>
          <w:marBottom w:val="0"/>
          <w:divBdr>
            <w:top w:val="none" w:sz="0" w:space="0" w:color="auto"/>
            <w:left w:val="none" w:sz="0" w:space="0" w:color="auto"/>
            <w:bottom w:val="none" w:sz="0" w:space="0" w:color="auto"/>
            <w:right w:val="none" w:sz="0" w:space="0" w:color="auto"/>
          </w:divBdr>
        </w:div>
        <w:div w:id="1055007400">
          <w:marLeft w:val="0"/>
          <w:marRight w:val="0"/>
          <w:marTop w:val="0"/>
          <w:marBottom w:val="0"/>
          <w:divBdr>
            <w:top w:val="none" w:sz="0" w:space="0" w:color="auto"/>
            <w:left w:val="none" w:sz="0" w:space="0" w:color="auto"/>
            <w:bottom w:val="none" w:sz="0" w:space="0" w:color="auto"/>
            <w:right w:val="none" w:sz="0" w:space="0" w:color="auto"/>
          </w:divBdr>
        </w:div>
        <w:div w:id="1240793122">
          <w:marLeft w:val="0"/>
          <w:marRight w:val="0"/>
          <w:marTop w:val="0"/>
          <w:marBottom w:val="0"/>
          <w:divBdr>
            <w:top w:val="none" w:sz="0" w:space="0" w:color="auto"/>
            <w:left w:val="none" w:sz="0" w:space="0" w:color="auto"/>
            <w:bottom w:val="none" w:sz="0" w:space="0" w:color="auto"/>
            <w:right w:val="none" w:sz="0" w:space="0" w:color="auto"/>
          </w:divBdr>
          <w:divsChild>
            <w:div w:id="1525710538">
              <w:marLeft w:val="0"/>
              <w:marRight w:val="0"/>
              <w:marTop w:val="0"/>
              <w:marBottom w:val="0"/>
              <w:divBdr>
                <w:top w:val="none" w:sz="0" w:space="0" w:color="auto"/>
                <w:left w:val="none" w:sz="0" w:space="0" w:color="auto"/>
                <w:bottom w:val="none" w:sz="0" w:space="0" w:color="auto"/>
                <w:right w:val="none" w:sz="0" w:space="0" w:color="auto"/>
              </w:divBdr>
              <w:divsChild>
                <w:div w:id="19737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advisor.com/home/topics/diabetes/thyroid-markers-predicting-gestational-diabetes-risk-identified/" TargetMode="External"/><Relationship Id="rId3" Type="http://schemas.openxmlformats.org/officeDocument/2006/relationships/settings" Target="settings.xml"/><Relationship Id="rId7" Type="http://schemas.openxmlformats.org/officeDocument/2006/relationships/hyperlink" Target="https://www.endocrinologyadvisor.com/home/topics/pediatric-endocrinology/effects-of-maternal-gestational-diabetes-on-neonatal-hypoglycemia-diet-vs-insulin-treat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docrinologyadvisor.com/home/decision-support-in-medicine/labmed/gestational-diabet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endocrinologyadvisor.com/home/topics/diabetes/tailored-letter-may-improve-gestational-weight-gain-in-gestational-diabetes/" TargetMode="External"/><Relationship Id="rId4" Type="http://schemas.openxmlformats.org/officeDocument/2006/relationships/webSettings" Target="webSettings.xml"/><Relationship Id="rId9" Type="http://schemas.openxmlformats.org/officeDocument/2006/relationships/hyperlink" Target="https://www.endocrinologyadvisor.com/home/topics/diabetes/type-2-diabetes/contribution-of-low-severity-gestational-diabetes-mellitus-on-the-diabetes-epi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2019-02-22T04:50:00Z</dcterms:created>
  <dcterms:modified xsi:type="dcterms:W3CDTF">2019-02-22T04:51:00Z</dcterms:modified>
</cp:coreProperties>
</file>