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7D4F" w:rsidRPr="00BF7D4F" w:rsidRDefault="00BF7D4F" w:rsidP="00BF7D4F">
      <w:pPr>
        <w:spacing w:before="100" w:beforeAutospacing="1" w:after="100" w:afterAutospacing="1" w:line="240" w:lineRule="auto"/>
        <w:outlineLvl w:val="0"/>
        <w:rPr>
          <w:rFonts w:ascii="Georgia" w:eastAsia="Times New Roman" w:hAnsi="Georgia" w:cs="Times New Roman"/>
          <w:b/>
          <w:bCs/>
          <w:color w:val="333333"/>
          <w:kern w:val="36"/>
          <w:sz w:val="48"/>
          <w:szCs w:val="48"/>
        </w:rPr>
      </w:pPr>
      <w:r w:rsidRPr="00BF7D4F">
        <w:rPr>
          <w:rFonts w:ascii="Georgia" w:eastAsia="Times New Roman" w:hAnsi="Georgia" w:cs="Times New Roman"/>
          <w:b/>
          <w:bCs/>
          <w:color w:val="333333"/>
          <w:kern w:val="36"/>
          <w:sz w:val="48"/>
          <w:szCs w:val="48"/>
        </w:rPr>
        <w:t>Salzburg Consensus Criteria May Improve EEG Diagnostic Accuracy in Nonconvulsive Status Epilepticus</w:t>
      </w:r>
    </w:p>
    <w:p w:rsidR="00BF7D4F" w:rsidRPr="00BF7D4F" w:rsidRDefault="00BF7D4F" w:rsidP="00BF7D4F">
      <w:pPr>
        <w:spacing w:after="0" w:line="240" w:lineRule="auto"/>
        <w:rPr>
          <w:rFonts w:ascii="Times New Roman" w:eastAsia="Times New Roman" w:hAnsi="Times New Roman" w:cs="Times New Roman"/>
          <w:sz w:val="24"/>
          <w:szCs w:val="24"/>
        </w:rPr>
      </w:pPr>
      <w:hyperlink r:id="rId5" w:history="1">
        <w:r w:rsidRPr="00BF7D4F">
          <w:rPr>
            <w:rFonts w:ascii="Times New Roman" w:eastAsia="Times New Roman" w:hAnsi="Times New Roman" w:cs="Times New Roman"/>
            <w:b/>
            <w:bCs/>
            <w:color w:val="666666"/>
            <w:sz w:val="24"/>
            <w:szCs w:val="24"/>
            <w:u w:val="single"/>
          </w:rPr>
          <w:t>Brandon May</w:t>
        </w:r>
      </w:hyperlink>
      <w:hyperlink r:id="rId6" w:history="1">
        <w:r w:rsidRPr="00BF7D4F">
          <w:rPr>
            <w:rFonts w:ascii="Times New Roman" w:eastAsia="Times New Roman" w:hAnsi="Times New Roman" w:cs="Times New Roman"/>
            <w:color w:val="000000"/>
            <w:sz w:val="24"/>
            <w:szCs w:val="24"/>
          </w:rPr>
          <w:t>Share by Email</w:t>
        </w:r>
      </w:hyperlink>
    </w:p>
    <w:p w:rsidR="00BF7D4F" w:rsidRPr="00BF7D4F" w:rsidRDefault="00BF7D4F" w:rsidP="00BF7D4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8191500" cy="5457825"/>
            <wp:effectExtent l="19050" t="0" r="0" b="0"/>
            <wp:docPr id="1" name="Picture 1" descr="e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eg"/>
                    <pic:cNvPicPr>
                      <a:picLocks noChangeAspect="1" noChangeArrowheads="1"/>
                    </pic:cNvPicPr>
                  </pic:nvPicPr>
                  <pic:blipFill>
                    <a:blip r:embed="rId7"/>
                    <a:srcRect/>
                    <a:stretch>
                      <a:fillRect/>
                    </a:stretch>
                  </pic:blipFill>
                  <pic:spPr bwMode="auto">
                    <a:xfrm>
                      <a:off x="0" y="0"/>
                      <a:ext cx="8191500" cy="5457825"/>
                    </a:xfrm>
                    <a:prstGeom prst="rect">
                      <a:avLst/>
                    </a:prstGeom>
                    <a:noFill/>
                    <a:ln w="9525">
                      <a:noFill/>
                      <a:miter lim="800000"/>
                      <a:headEnd/>
                      <a:tailEnd/>
                    </a:ln>
                  </pic:spPr>
                </pic:pic>
              </a:graphicData>
            </a:graphic>
          </wp:inline>
        </w:drawing>
      </w:r>
      <w:r w:rsidRPr="00BF7D4F">
        <w:rPr>
          <w:rFonts w:ascii="Times New Roman" w:eastAsia="Times New Roman" w:hAnsi="Times New Roman" w:cs="Times New Roman"/>
          <w:sz w:val="24"/>
          <w:szCs w:val="24"/>
        </w:rPr>
        <w:t>An examiner trained in SCC diagnosed patients with NCSE or possible NCSE according to the SCC definition and compared these diagnoses with the initial diagnosis made by an expert EEG examiner.</w:t>
      </w:r>
    </w:p>
    <w:p w:rsidR="00BF7D4F" w:rsidRPr="00BF7D4F" w:rsidRDefault="00BF7D4F" w:rsidP="00BF7D4F">
      <w:pPr>
        <w:shd w:val="clear" w:color="auto" w:fill="FFFFFF"/>
        <w:spacing w:after="240" w:line="240" w:lineRule="auto"/>
        <w:rPr>
          <w:rFonts w:ascii="Arial" w:eastAsia="Times New Roman" w:hAnsi="Arial" w:cs="Arial"/>
          <w:color w:val="333333"/>
          <w:sz w:val="27"/>
          <w:szCs w:val="27"/>
        </w:rPr>
      </w:pPr>
      <w:r w:rsidRPr="00BF7D4F">
        <w:rPr>
          <w:rFonts w:ascii="Arial" w:eastAsia="Times New Roman" w:hAnsi="Arial" w:cs="Arial"/>
          <w:color w:val="333333"/>
          <w:sz w:val="27"/>
          <w:szCs w:val="27"/>
        </w:rPr>
        <w:t>The Salzburg Consensus Criteria (SCC), a potential diagnostic tool for nonconvulsive </w:t>
      </w:r>
      <w:hyperlink r:id="rId8" w:history="1">
        <w:r w:rsidRPr="00BF7D4F">
          <w:rPr>
            <w:rFonts w:ascii="Arial" w:eastAsia="Times New Roman" w:hAnsi="Arial" w:cs="Arial"/>
            <w:color w:val="666666"/>
            <w:sz w:val="27"/>
            <w:u w:val="single"/>
          </w:rPr>
          <w:t>status epilepticus </w:t>
        </w:r>
      </w:hyperlink>
      <w:r w:rsidRPr="00BF7D4F">
        <w:rPr>
          <w:rFonts w:ascii="Arial" w:eastAsia="Times New Roman" w:hAnsi="Arial" w:cs="Arial"/>
          <w:color w:val="333333"/>
          <w:sz w:val="27"/>
          <w:szCs w:val="27"/>
        </w:rPr>
        <w:t xml:space="preserve">(NCSE), yielded similar diagnostic results by an inexperienced electroencephalogram (EEG) reader compared with an </w:t>
      </w:r>
      <w:r w:rsidRPr="00BF7D4F">
        <w:rPr>
          <w:rFonts w:ascii="Arial" w:eastAsia="Times New Roman" w:hAnsi="Arial" w:cs="Arial"/>
          <w:color w:val="333333"/>
          <w:sz w:val="27"/>
          <w:szCs w:val="27"/>
        </w:rPr>
        <w:lastRenderedPageBreak/>
        <w:t>experienced EEG reader not using the SCC, according to study results in the </w:t>
      </w:r>
      <w:r w:rsidRPr="00BF7D4F">
        <w:rPr>
          <w:rFonts w:ascii="Arial" w:eastAsia="Times New Roman" w:hAnsi="Arial" w:cs="Arial"/>
          <w:i/>
          <w:iCs/>
          <w:color w:val="333333"/>
          <w:sz w:val="27"/>
        </w:rPr>
        <w:t>Journal of Clinical Neurophysiology</w:t>
      </w:r>
      <w:r w:rsidRPr="00BF7D4F">
        <w:rPr>
          <w:rFonts w:ascii="Arial" w:eastAsia="Times New Roman" w:hAnsi="Arial" w:cs="Arial"/>
          <w:color w:val="333333"/>
          <w:sz w:val="27"/>
          <w:szCs w:val="27"/>
        </w:rPr>
        <w:t>.</w:t>
      </w:r>
    </w:p>
    <w:p w:rsidR="00BF7D4F" w:rsidRPr="00BF7D4F" w:rsidRDefault="00BF7D4F" w:rsidP="00BF7D4F">
      <w:pPr>
        <w:shd w:val="clear" w:color="auto" w:fill="FFFFFF"/>
        <w:spacing w:after="240" w:line="240" w:lineRule="auto"/>
        <w:rPr>
          <w:rFonts w:ascii="Arial" w:eastAsia="Times New Roman" w:hAnsi="Arial" w:cs="Arial"/>
          <w:color w:val="333333"/>
          <w:sz w:val="27"/>
          <w:szCs w:val="27"/>
        </w:rPr>
      </w:pPr>
      <w:r w:rsidRPr="00BF7D4F">
        <w:rPr>
          <w:rFonts w:ascii="Arial" w:eastAsia="Times New Roman" w:hAnsi="Arial" w:cs="Arial"/>
          <w:color w:val="333333"/>
          <w:sz w:val="27"/>
          <w:szCs w:val="27"/>
        </w:rPr>
        <w:t>The first EEG data of patients who were admitted to a hospital in Denmark with suspected NCSE (n=284) were retrospectively re-analyzed in the study. To validate the diagnostic criteria, an examiner trained in SCC diagnosed patients with NCSE or possible NCSE according to the SCC definition, and these diagnoses were compared with the initial diagnosis made by an expert EEG examiner. The researchers also examined the clinical outcome in patients who were not diagnosed using SCC, or false-negatives.</w:t>
      </w:r>
    </w:p>
    <w:p w:rsidR="00BF7D4F" w:rsidRPr="00BF7D4F" w:rsidRDefault="00BF7D4F" w:rsidP="00BF7D4F">
      <w:pPr>
        <w:shd w:val="clear" w:color="auto" w:fill="FFFFFF"/>
        <w:spacing w:after="240" w:line="240" w:lineRule="auto"/>
        <w:rPr>
          <w:rFonts w:ascii="Arial" w:eastAsia="Times New Roman" w:hAnsi="Arial" w:cs="Arial"/>
          <w:color w:val="333333"/>
          <w:sz w:val="27"/>
          <w:szCs w:val="27"/>
        </w:rPr>
      </w:pPr>
      <w:r w:rsidRPr="00BF7D4F">
        <w:rPr>
          <w:rFonts w:ascii="Arial" w:eastAsia="Times New Roman" w:hAnsi="Arial" w:cs="Arial"/>
          <w:color w:val="333333"/>
          <w:sz w:val="27"/>
          <w:szCs w:val="27"/>
        </w:rPr>
        <w:t>A similar number of patients diagnosed with nonconvulsive status epilepticus or possible NCSE was observed in the inexperienced reader using the SCC and the experienced reader not using the SCC (40 vs 47, respectively). False-negatives, false-positives, true-positives, and true-negatives were recorded in 8 patients, 1 patient, 39 patients, and 236 patients, respectively. The researchers found high concordance between SCC and the reference standard (k=0.88; 95% CI, 0.80-0.96). Anoxic encephalopathy was recorded in four of the eight false-negatives, whereas the remaining patients had a history of epilepsy and subsequently returned to pre-ictal function.</w:t>
      </w:r>
    </w:p>
    <w:p w:rsidR="00BF7D4F" w:rsidRPr="00BF7D4F" w:rsidRDefault="00BF7D4F" w:rsidP="00BF7D4F">
      <w:pPr>
        <w:shd w:val="clear" w:color="auto" w:fill="FFFFFF"/>
        <w:spacing w:after="240" w:line="240" w:lineRule="auto"/>
        <w:rPr>
          <w:rFonts w:ascii="Arial" w:eastAsia="Times New Roman" w:hAnsi="Arial" w:cs="Arial"/>
          <w:color w:val="333333"/>
          <w:sz w:val="27"/>
          <w:szCs w:val="27"/>
        </w:rPr>
      </w:pPr>
      <w:r w:rsidRPr="00BF7D4F">
        <w:rPr>
          <w:rFonts w:ascii="Arial" w:eastAsia="Times New Roman" w:hAnsi="Arial" w:cs="Arial"/>
          <w:color w:val="333333"/>
          <w:sz w:val="27"/>
          <w:szCs w:val="27"/>
        </w:rPr>
        <w:t>Limitations of the study included the small sample size and the reliance on only one investigator who rated the EEGs.</w:t>
      </w:r>
    </w:p>
    <w:p w:rsidR="00BF7D4F" w:rsidRPr="00BF7D4F" w:rsidRDefault="00BF7D4F" w:rsidP="00BF7D4F">
      <w:pPr>
        <w:shd w:val="clear" w:color="auto" w:fill="FFFFFF"/>
        <w:spacing w:after="240" w:line="240" w:lineRule="auto"/>
        <w:rPr>
          <w:rFonts w:ascii="Arial" w:eastAsia="Times New Roman" w:hAnsi="Arial" w:cs="Arial"/>
          <w:color w:val="333333"/>
          <w:sz w:val="27"/>
          <w:szCs w:val="27"/>
        </w:rPr>
      </w:pPr>
      <w:r w:rsidRPr="00BF7D4F">
        <w:rPr>
          <w:rFonts w:ascii="Arial" w:eastAsia="Times New Roman" w:hAnsi="Arial" w:cs="Arial"/>
          <w:color w:val="333333"/>
          <w:sz w:val="27"/>
          <w:szCs w:val="27"/>
        </w:rPr>
        <w:t>“It is reassuring that most patients with a false-negative diagnosis according to the SCC were either patients with a known epilepsy, who returned to their preictal function, or patients with a post-anoxic brain damage who had a fatal outcome,” the researchers concluded. “This indicates that the original diagnosis reflected a postictal or interictal condition in patients with epilepsy and brain dysfunction in post-anoxic patients rather than status epilepticus.”</w:t>
      </w:r>
    </w:p>
    <w:p w:rsidR="00BF7D4F" w:rsidRPr="00BF7D4F" w:rsidRDefault="00BF7D4F" w:rsidP="00BF7D4F">
      <w:pPr>
        <w:shd w:val="clear" w:color="auto" w:fill="FFFFFF"/>
        <w:spacing w:after="240" w:line="240" w:lineRule="auto"/>
        <w:rPr>
          <w:rFonts w:ascii="Arial" w:eastAsia="Times New Roman" w:hAnsi="Arial" w:cs="Arial"/>
          <w:color w:val="333333"/>
          <w:sz w:val="27"/>
          <w:szCs w:val="27"/>
        </w:rPr>
      </w:pPr>
      <w:r w:rsidRPr="00BF7D4F">
        <w:rPr>
          <w:rFonts w:ascii="Arial" w:eastAsia="Times New Roman" w:hAnsi="Arial" w:cs="Arial"/>
          <w:b/>
          <w:bCs/>
          <w:color w:val="333333"/>
          <w:sz w:val="27"/>
        </w:rPr>
        <w:t>Reference</w:t>
      </w:r>
    </w:p>
    <w:p w:rsidR="00BF7D4F" w:rsidRPr="00BF7D4F" w:rsidRDefault="00BF7D4F" w:rsidP="00BF7D4F">
      <w:pPr>
        <w:shd w:val="clear" w:color="auto" w:fill="FFFFFF"/>
        <w:spacing w:after="240" w:line="240" w:lineRule="auto"/>
        <w:rPr>
          <w:rFonts w:ascii="Arial" w:eastAsia="Times New Roman" w:hAnsi="Arial" w:cs="Arial"/>
          <w:color w:val="333333"/>
          <w:sz w:val="27"/>
          <w:szCs w:val="27"/>
        </w:rPr>
      </w:pPr>
      <w:r w:rsidRPr="00BF7D4F">
        <w:rPr>
          <w:rFonts w:ascii="Arial" w:eastAsia="Times New Roman" w:hAnsi="Arial" w:cs="Arial"/>
          <w:color w:val="333333"/>
          <w:sz w:val="27"/>
          <w:szCs w:val="27"/>
        </w:rPr>
        <w:t>Krogstad MH, Høgenhaven H, Beier CP, Krøigård T.</w:t>
      </w:r>
      <w:hyperlink r:id="rId9" w:tgtFrame="_blank" w:history="1">
        <w:r w:rsidRPr="00BF7D4F">
          <w:rPr>
            <w:rFonts w:ascii="Arial" w:eastAsia="Times New Roman" w:hAnsi="Arial" w:cs="Arial"/>
            <w:color w:val="666666"/>
            <w:sz w:val="27"/>
            <w:u w:val="single"/>
          </w:rPr>
          <w:t> Nonconvulsive status epilepticus: validating the Salzburg criteria against an expert EEG examiner</w:t>
        </w:r>
      </w:hyperlink>
      <w:r w:rsidRPr="00BF7D4F">
        <w:rPr>
          <w:rFonts w:ascii="Arial" w:eastAsia="Times New Roman" w:hAnsi="Arial" w:cs="Arial"/>
          <w:color w:val="333333"/>
          <w:sz w:val="27"/>
          <w:szCs w:val="27"/>
        </w:rPr>
        <w:t> [published online December 21, 2018]. </w:t>
      </w:r>
      <w:r w:rsidRPr="00BF7D4F">
        <w:rPr>
          <w:rFonts w:ascii="Arial" w:eastAsia="Times New Roman" w:hAnsi="Arial" w:cs="Arial"/>
          <w:i/>
          <w:iCs/>
          <w:color w:val="333333"/>
          <w:sz w:val="27"/>
        </w:rPr>
        <w:t>J Clin Neurophysiol</w:t>
      </w:r>
      <w:r w:rsidRPr="00BF7D4F">
        <w:rPr>
          <w:rFonts w:ascii="Arial" w:eastAsia="Times New Roman" w:hAnsi="Arial" w:cs="Arial"/>
          <w:color w:val="333333"/>
          <w:sz w:val="27"/>
          <w:szCs w:val="27"/>
        </w:rPr>
        <w:t>. doi:10.1097/WNP.0000000000000556</w:t>
      </w:r>
    </w:p>
    <w:p w:rsidR="007063A1" w:rsidRDefault="007063A1"/>
    <w:sectPr w:rsidR="007063A1" w:rsidSect="007063A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86789D"/>
    <w:multiLevelType w:val="multilevel"/>
    <w:tmpl w:val="BD3E7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6FE27D0"/>
    <w:multiLevelType w:val="multilevel"/>
    <w:tmpl w:val="42426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BF7D4F"/>
    <w:rsid w:val="007063A1"/>
    <w:rsid w:val="00BF7D4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63A1"/>
  </w:style>
  <w:style w:type="paragraph" w:styleId="Heading1">
    <w:name w:val="heading 1"/>
    <w:basedOn w:val="Normal"/>
    <w:link w:val="Heading1Char"/>
    <w:uiPriority w:val="9"/>
    <w:qFormat/>
    <w:rsid w:val="00BF7D4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BF7D4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7D4F"/>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BF7D4F"/>
    <w:rPr>
      <w:rFonts w:ascii="Times New Roman" w:eastAsia="Times New Roman" w:hAnsi="Times New Roman" w:cs="Times New Roman"/>
      <w:b/>
      <w:bCs/>
      <w:sz w:val="27"/>
      <w:szCs w:val="27"/>
    </w:rPr>
  </w:style>
  <w:style w:type="character" w:customStyle="1" w:styleId="name">
    <w:name w:val="name"/>
    <w:basedOn w:val="DefaultParagraphFont"/>
    <w:rsid w:val="00BF7D4F"/>
  </w:style>
  <w:style w:type="character" w:styleId="Hyperlink">
    <w:name w:val="Hyperlink"/>
    <w:basedOn w:val="DefaultParagraphFont"/>
    <w:uiPriority w:val="99"/>
    <w:semiHidden/>
    <w:unhideWhenUsed/>
    <w:rsid w:val="00BF7D4F"/>
    <w:rPr>
      <w:color w:val="0000FF"/>
      <w:u w:val="single"/>
    </w:rPr>
  </w:style>
  <w:style w:type="character" w:customStyle="1" w:styleId="screen-reader-text">
    <w:name w:val="screen-reader-text"/>
    <w:basedOn w:val="DefaultParagraphFont"/>
    <w:rsid w:val="00BF7D4F"/>
  </w:style>
  <w:style w:type="paragraph" w:styleId="NormalWeb">
    <w:name w:val="Normal (Web)"/>
    <w:basedOn w:val="Normal"/>
    <w:uiPriority w:val="99"/>
    <w:semiHidden/>
    <w:unhideWhenUsed/>
    <w:rsid w:val="00BF7D4F"/>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F7D4F"/>
    <w:rPr>
      <w:i/>
      <w:iCs/>
    </w:rPr>
  </w:style>
  <w:style w:type="character" w:styleId="Strong">
    <w:name w:val="Strong"/>
    <w:basedOn w:val="DefaultParagraphFont"/>
    <w:uiPriority w:val="22"/>
    <w:qFormat/>
    <w:rsid w:val="00BF7D4F"/>
    <w:rPr>
      <w:b/>
      <w:bCs/>
    </w:rPr>
  </w:style>
  <w:style w:type="paragraph" w:styleId="BalloonText">
    <w:name w:val="Balloon Text"/>
    <w:basedOn w:val="Normal"/>
    <w:link w:val="BalloonTextChar"/>
    <w:uiPriority w:val="99"/>
    <w:semiHidden/>
    <w:unhideWhenUsed/>
    <w:rsid w:val="00BF7D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7D4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11744432">
      <w:bodyDiv w:val="1"/>
      <w:marLeft w:val="0"/>
      <w:marRight w:val="0"/>
      <w:marTop w:val="0"/>
      <w:marBottom w:val="0"/>
      <w:divBdr>
        <w:top w:val="none" w:sz="0" w:space="0" w:color="auto"/>
        <w:left w:val="none" w:sz="0" w:space="0" w:color="auto"/>
        <w:bottom w:val="none" w:sz="0" w:space="0" w:color="auto"/>
        <w:right w:val="none" w:sz="0" w:space="0" w:color="auto"/>
      </w:divBdr>
      <w:divsChild>
        <w:div w:id="1958175942">
          <w:marLeft w:val="0"/>
          <w:marRight w:val="0"/>
          <w:marTop w:val="0"/>
          <w:marBottom w:val="0"/>
          <w:divBdr>
            <w:top w:val="none" w:sz="0" w:space="0" w:color="auto"/>
            <w:left w:val="none" w:sz="0" w:space="0" w:color="auto"/>
            <w:bottom w:val="none" w:sz="0" w:space="0" w:color="auto"/>
            <w:right w:val="none" w:sz="0" w:space="0" w:color="auto"/>
          </w:divBdr>
          <w:divsChild>
            <w:div w:id="405538489">
              <w:marLeft w:val="0"/>
              <w:marRight w:val="0"/>
              <w:marTop w:val="0"/>
              <w:marBottom w:val="0"/>
              <w:divBdr>
                <w:top w:val="none" w:sz="0" w:space="0" w:color="auto"/>
                <w:left w:val="none" w:sz="0" w:space="0" w:color="auto"/>
                <w:bottom w:val="none" w:sz="0" w:space="0" w:color="auto"/>
                <w:right w:val="none" w:sz="0" w:space="0" w:color="auto"/>
              </w:divBdr>
              <w:divsChild>
                <w:div w:id="1898130262">
                  <w:marLeft w:val="0"/>
                  <w:marRight w:val="0"/>
                  <w:marTop w:val="0"/>
                  <w:marBottom w:val="0"/>
                  <w:divBdr>
                    <w:top w:val="none" w:sz="0" w:space="0" w:color="auto"/>
                    <w:left w:val="none" w:sz="0" w:space="0" w:color="auto"/>
                    <w:bottom w:val="none" w:sz="0" w:space="0" w:color="auto"/>
                    <w:right w:val="none" w:sz="0" w:space="0" w:color="auto"/>
                  </w:divBdr>
                  <w:divsChild>
                    <w:div w:id="1221021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8531155">
          <w:marLeft w:val="0"/>
          <w:marRight w:val="0"/>
          <w:marTop w:val="0"/>
          <w:marBottom w:val="0"/>
          <w:divBdr>
            <w:top w:val="none" w:sz="0" w:space="0" w:color="auto"/>
            <w:left w:val="none" w:sz="0" w:space="0" w:color="auto"/>
            <w:bottom w:val="none" w:sz="0" w:space="0" w:color="auto"/>
            <w:right w:val="none" w:sz="0" w:space="0" w:color="auto"/>
          </w:divBdr>
        </w:div>
        <w:div w:id="181407302">
          <w:marLeft w:val="0"/>
          <w:marRight w:val="0"/>
          <w:marTop w:val="0"/>
          <w:marBottom w:val="0"/>
          <w:divBdr>
            <w:top w:val="none" w:sz="0" w:space="0" w:color="auto"/>
            <w:left w:val="none" w:sz="0" w:space="0" w:color="auto"/>
            <w:bottom w:val="none" w:sz="0" w:space="0" w:color="auto"/>
            <w:right w:val="none" w:sz="0" w:space="0" w:color="auto"/>
          </w:divBdr>
        </w:div>
        <w:div w:id="1057781496">
          <w:marLeft w:val="0"/>
          <w:marRight w:val="0"/>
          <w:marTop w:val="0"/>
          <w:marBottom w:val="0"/>
          <w:divBdr>
            <w:top w:val="none" w:sz="0" w:space="0" w:color="auto"/>
            <w:left w:val="none" w:sz="0" w:space="0" w:color="auto"/>
            <w:bottom w:val="none" w:sz="0" w:space="0" w:color="auto"/>
            <w:right w:val="none" w:sz="0" w:space="0" w:color="auto"/>
          </w:divBdr>
          <w:divsChild>
            <w:div w:id="1801916165">
              <w:marLeft w:val="0"/>
              <w:marRight w:val="0"/>
              <w:marTop w:val="0"/>
              <w:marBottom w:val="0"/>
              <w:divBdr>
                <w:top w:val="none" w:sz="0" w:space="0" w:color="auto"/>
                <w:left w:val="none" w:sz="0" w:space="0" w:color="auto"/>
                <w:bottom w:val="none" w:sz="0" w:space="0" w:color="auto"/>
                <w:right w:val="none" w:sz="0" w:space="0" w:color="auto"/>
              </w:divBdr>
              <w:divsChild>
                <w:div w:id="180153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eurologyadvisor.com/topics/epilepsy/characteristics-linked-to-favorable-status-epilepticus-outcome-identified/"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ubject=Salzburg%20Consensus%20Criteria%20May%20Improve%20EEG%20Diagnostic%20Accuracy%20in%20Nonconvulsive%20Status%20Epilepticus&amp;Body=Check%20out%20this%20article%20at:%20https://www.neurologyadvisor.com/topics/epilepsy/salzburg-consensus-criteria-may-improve-eeg-diagnostic-accuracy-in-nonconvulsive-status-epilepticus/" TargetMode="External"/><Relationship Id="rId11" Type="http://schemas.openxmlformats.org/officeDocument/2006/relationships/theme" Target="theme/theme1.xml"/><Relationship Id="rId5" Type="http://schemas.openxmlformats.org/officeDocument/2006/relationships/hyperlink" Target="https://www.neurologyadvisor.com/author/brandon-may/"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insights.ovid.com/crossref?an=00004691-900000000-9949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491</Words>
  <Characters>2803</Characters>
  <Application>Microsoft Office Word</Application>
  <DocSecurity>0</DocSecurity>
  <Lines>23</Lines>
  <Paragraphs>6</Paragraphs>
  <ScaleCrop>false</ScaleCrop>
  <Company/>
  <LinksUpToDate>false</LinksUpToDate>
  <CharactersWithSpaces>3288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Avicenna</dc:creator>
  <cp:lastModifiedBy>Avicenna</cp:lastModifiedBy>
  <cp:revision>2</cp:revision>
  <dcterms:created xsi:type="dcterms:W3CDTF">2019-02-20T07:40:00Z</dcterms:created>
  <dcterms:modified xsi:type="dcterms:W3CDTF">2019-02-20T07:42:00Z</dcterms:modified>
</cp:coreProperties>
</file>