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D2" w:rsidRPr="00C67AD2" w:rsidRDefault="00C67AD2" w:rsidP="00C67AD2">
      <w:pPr>
        <w:shd w:val="clear" w:color="auto" w:fill="FFFFFF"/>
        <w:spacing w:before="150" w:after="150" w:line="420" w:lineRule="atLeast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</w:rPr>
      </w:pPr>
      <w:r w:rsidRPr="00C67AD2">
        <w:rPr>
          <w:rFonts w:ascii="Georgia" w:eastAsia="Times New Roman" w:hAnsi="Georgia" w:cs="Times New Roman"/>
          <w:color w:val="333333"/>
          <w:kern w:val="36"/>
          <w:sz w:val="38"/>
          <w:szCs w:val="38"/>
        </w:rPr>
        <w:t>Pneumococcal Sepsis Risk Remains High in Children After Vaccination</w:t>
      </w:r>
    </w:p>
    <w:p w:rsidR="00C67AD2" w:rsidRPr="00C67AD2" w:rsidRDefault="00C67AD2" w:rsidP="00C67AD2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7AD2">
        <w:rPr>
          <w:rFonts w:ascii="Arial" w:eastAsia="Times New Roman" w:hAnsi="Arial" w:cs="Arial"/>
          <w:color w:val="CCCCCC"/>
          <w:sz w:val="18"/>
        </w:rPr>
        <w:t>Study results demonstrate the ongoing burden of pneumococcal sepsis among children in Switzerland shortly after the introduction of PCV-13.</w:t>
      </w:r>
    </w:p>
    <w:p w:rsidR="00C67AD2" w:rsidRPr="00C67AD2" w:rsidRDefault="00C67AD2" w:rsidP="00C67A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67AD2">
        <w:rPr>
          <w:rFonts w:ascii="Arial" w:eastAsia="Times New Roman" w:hAnsi="Arial" w:cs="Arial"/>
          <w:color w:val="333333"/>
          <w:sz w:val="23"/>
          <w:szCs w:val="23"/>
        </w:rPr>
        <w:t>The incidence of pneumococcal sepsis in children remained high after the introduction of the pneumococcal conjugate vaccine (PCV)-13 in Switzerland, according to a study published in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Clinical Infectious Diseases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. This study also found that meningitis from non-vaccine serotypes and disease caused specifically by serotype 3 were significant predictors of severity.       </w:t>
      </w:r>
    </w:p>
    <w:p w:rsidR="00C67AD2" w:rsidRPr="00C67AD2" w:rsidRDefault="00C67AD2" w:rsidP="00C67A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67AD2">
        <w:rPr>
          <w:rFonts w:ascii="Arial" w:eastAsia="Times New Roman" w:hAnsi="Arial" w:cs="Arial"/>
          <w:color w:val="333333"/>
          <w:sz w:val="23"/>
          <w:szCs w:val="23"/>
        </w:rPr>
        <w:t>Investigators assessed the effect of PCV vaccines on the burden of pneumococcal </w:t>
      </w:r>
      <w:hyperlink r:id="rId5" w:tgtFrame="_blank" w:history="1">
        <w:r w:rsidRPr="00C67AD2">
          <w:rPr>
            <w:rFonts w:ascii="Arial" w:eastAsia="Times New Roman" w:hAnsi="Arial" w:cs="Arial"/>
            <w:b/>
            <w:bCs/>
            <w:color w:val="080889"/>
            <w:sz w:val="23"/>
          </w:rPr>
          <w:t>sepsis </w:t>
        </w:r>
      </w:hyperlink>
      <w:r w:rsidRPr="00C67AD2">
        <w:rPr>
          <w:rFonts w:ascii="Arial" w:eastAsia="Times New Roman" w:hAnsi="Arial" w:cs="Arial"/>
          <w:color w:val="333333"/>
          <w:sz w:val="23"/>
          <w:szCs w:val="23"/>
        </w:rPr>
        <w:t>in children using a nationwide cohort from The Swiss Pediatric Sepsis Study. This cohort recruited children aged &lt;17 years with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Streptococcus pneumoniae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 blood culture-positive sepsis who also met the criteria for systemic inflammatory response syndrome between September 2011 and December 2015. Vaccine failure occurred if infection with a vaccine serotype developed in a child with up-to-date PCV immunization.A total of 117 children with pneumococcal sepsis represented a crude incidence of 2.0 per 100,000 children (95% CI, 1.7-2.4) and 25% of community-acquired sepsis episodes. Approximately 25% of children (n=29) found to have </w:t>
      </w:r>
      <w:hyperlink r:id="rId6" w:tgtFrame="_blank" w:history="1">
        <w:r w:rsidRPr="00C67AD2">
          <w:rPr>
            <w:rFonts w:ascii="Arial" w:eastAsia="Times New Roman" w:hAnsi="Arial" w:cs="Arial"/>
            <w:b/>
            <w:bCs/>
            <w:color w:val="080889"/>
            <w:sz w:val="23"/>
          </w:rPr>
          <w:t>meningitis </w:t>
        </w:r>
      </w:hyperlink>
      <w:r w:rsidRPr="00C67AD2">
        <w:rPr>
          <w:rFonts w:ascii="Arial" w:eastAsia="Times New Roman" w:hAnsi="Arial" w:cs="Arial"/>
          <w:color w:val="333333"/>
          <w:sz w:val="23"/>
          <w:szCs w:val="23"/>
        </w:rPr>
        <w:t>were more often infected by non-vaccine serotypes (69% vs 31%;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&lt;.001). Vaccine failure occurred in 16 of 62 children (26%) with up-to-date vaccinations; 11 of these children had infection with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S pneumoniae 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serotype 3. The case fatality rate overall was 8%. The multivariable analyses found that children with meningitis (odds ratio [OR] 6.8; 95% CI, 2.4-19.3;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&lt;.001) or with serotype 3 infection (OR 2.8; 95% CI, 1.1-7.3;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=.04) were more often admitted to the pediatric intensive care unit. The results also found that children with infection from serotype 3 had longer stays in the hospital (β coefficient 0.2, 95% CI, 0.1-1.1;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P 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=.01).The study benefited from a population-based design, prospectively collected data such as serotyping and vaccination status, and clearly defined criteria for the inclusion of children with bacteremia and systematic inflammatory response syndrome. This resulted in a population of patients with an unequivocal phenotype. Investigators noted that limitations refer to systematic inflammatory response syndrome-based sepsis definitions that were recently revised in the adult population. In addition, researchers were unable to report on the effect of PCV vaccination on the burden of </w:t>
      </w:r>
      <w:hyperlink r:id="rId7" w:tgtFrame="_self" w:history="1">
        <w:r w:rsidRPr="00C67AD2">
          <w:rPr>
            <w:rFonts w:ascii="Arial" w:eastAsia="Times New Roman" w:hAnsi="Arial" w:cs="Arial"/>
            <w:b/>
            <w:bCs/>
            <w:color w:val="080889"/>
            <w:sz w:val="23"/>
          </w:rPr>
          <w:t>pneumococcal </w:t>
        </w:r>
      </w:hyperlink>
      <w:r w:rsidRPr="00C67AD2">
        <w:rPr>
          <w:rFonts w:ascii="Arial" w:eastAsia="Times New Roman" w:hAnsi="Arial" w:cs="Arial"/>
          <w:color w:val="333333"/>
          <w:sz w:val="23"/>
          <w:szCs w:val="23"/>
        </w:rPr>
        <w:t>sepsis in Switzerland as a result of a lack of data prior to the vaccine's introduction.</w:t>
      </w:r>
    </w:p>
    <w:p w:rsidR="00C67AD2" w:rsidRPr="00C67AD2" w:rsidRDefault="00C67AD2" w:rsidP="00C67A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67AD2">
        <w:rPr>
          <w:rFonts w:ascii="Arial" w:eastAsia="Times New Roman" w:hAnsi="Arial" w:cs="Arial"/>
          <w:color w:val="333333"/>
          <w:sz w:val="23"/>
          <w:szCs w:val="23"/>
        </w:rPr>
        <w:t>Investigators concluded that this work, “demonstrates the ongoing burden of pneumococcal sepsis among children in Switzerland, shortly after the introduction of PCV-13.” Further, according to investigators, data also supported the need for vaccines that better protect against serotype 3 and ongoing surveillance of invasive pneumococcal disease and sepsis.</w:t>
      </w:r>
    </w:p>
    <w:p w:rsidR="00C67AD2" w:rsidRDefault="00C67AD2" w:rsidP="00C67AD2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</w:pPr>
      <w:r w:rsidRPr="00C67AD2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Reference</w:t>
      </w:r>
    </w:p>
    <w:p w:rsidR="00C67AD2" w:rsidRPr="00C67AD2" w:rsidRDefault="00C67AD2" w:rsidP="00C67AD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C67AD2">
        <w:rPr>
          <w:rFonts w:ascii="Arial" w:eastAsia="Times New Roman" w:hAnsi="Arial" w:cs="Arial"/>
          <w:color w:val="333333"/>
          <w:sz w:val="23"/>
          <w:szCs w:val="23"/>
        </w:rPr>
        <w:lastRenderedPageBreak/>
        <w:t>Asner SA, Agyeman PKA, Gradoux E, et al. </w:t>
      </w:r>
      <w:hyperlink r:id="rId8" w:tgtFrame="_blank" w:history="1">
        <w:r w:rsidRPr="00C67AD2">
          <w:rPr>
            <w:rFonts w:ascii="Arial" w:eastAsia="Times New Roman" w:hAnsi="Arial" w:cs="Arial"/>
            <w:b/>
            <w:bCs/>
            <w:color w:val="666666"/>
            <w:sz w:val="23"/>
            <w:u w:val="single"/>
          </w:rPr>
          <w:t>Burden of Streptococcus pneumoniae sepsis in children after introduction of pneumococcal conjugate vaccines - a prospective population-based cohort study</w:t>
        </w:r>
      </w:hyperlink>
      <w:r w:rsidRPr="00C67AD2">
        <w:rPr>
          <w:rFonts w:ascii="Arial" w:eastAsia="Times New Roman" w:hAnsi="Arial" w:cs="Arial"/>
          <w:color w:val="333333"/>
          <w:sz w:val="23"/>
          <w:szCs w:val="23"/>
        </w:rPr>
        <w:t> [published online January 2, 2019]. </w:t>
      </w:r>
      <w:r w:rsidRPr="00C67AD2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Clin Infect Dis</w:t>
      </w:r>
      <w:r w:rsidRPr="00C67AD2">
        <w:rPr>
          <w:rFonts w:ascii="Arial" w:eastAsia="Times New Roman" w:hAnsi="Arial" w:cs="Arial"/>
          <w:color w:val="333333"/>
          <w:sz w:val="23"/>
          <w:szCs w:val="23"/>
        </w:rPr>
        <w:t>. doi: 10.1093/cid/ciy1139</w:t>
      </w:r>
    </w:p>
    <w:p w:rsidR="00E027DC" w:rsidRDefault="00E027DC"/>
    <w:sectPr w:rsidR="00E027DC" w:rsidSect="00E0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497"/>
    <w:multiLevelType w:val="multilevel"/>
    <w:tmpl w:val="194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27261"/>
    <w:multiLevelType w:val="multilevel"/>
    <w:tmpl w:val="96F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AD2"/>
    <w:rsid w:val="00C67AD2"/>
    <w:rsid w:val="00E0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DC"/>
  </w:style>
  <w:style w:type="paragraph" w:styleId="Heading1">
    <w:name w:val="heading 1"/>
    <w:basedOn w:val="Normal"/>
    <w:link w:val="Heading1Char"/>
    <w:uiPriority w:val="9"/>
    <w:qFormat/>
    <w:rsid w:val="00C6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7AD2"/>
    <w:rPr>
      <w:color w:val="0000FF"/>
      <w:u w:val="single"/>
    </w:rPr>
  </w:style>
  <w:style w:type="character" w:customStyle="1" w:styleId="articleimagecaption">
    <w:name w:val="articleimagecaption"/>
    <w:basedOn w:val="DefaultParagraphFont"/>
    <w:rsid w:val="00C67AD2"/>
  </w:style>
  <w:style w:type="paragraph" w:styleId="NormalWeb">
    <w:name w:val="Normal (Web)"/>
    <w:basedOn w:val="Normal"/>
    <w:uiPriority w:val="99"/>
    <w:semiHidden/>
    <w:unhideWhenUsed/>
    <w:rsid w:val="00C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articlestitle">
    <w:name w:val="relatedarticlestitle"/>
    <w:basedOn w:val="DefaultParagraphFont"/>
    <w:rsid w:val="00C67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502">
          <w:marLeft w:val="0"/>
          <w:marRight w:val="0"/>
          <w:marTop w:val="0"/>
          <w:marBottom w:val="375"/>
          <w:divBdr>
            <w:top w:val="single" w:sz="6" w:space="5" w:color="DBDBDB"/>
            <w:left w:val="none" w:sz="0" w:space="0" w:color="auto"/>
            <w:bottom w:val="single" w:sz="6" w:space="5" w:color="DBDBDB"/>
            <w:right w:val="none" w:sz="0" w:space="0" w:color="auto"/>
          </w:divBdr>
        </w:div>
        <w:div w:id="685207633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320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cid/advance-article-abstract/doi/10.1093/cid/ciy1139/5270128?redirectedFrom=full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lmonologyadvisor.com/pneumonia/pneumonia-risk-may-increase-with-benzodiazepine-use/article/8297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ectiousdiseaseadvisor.com/study-protocol-plans-to-examine-liposomal-amphotericin-vs-amphotericin-for-cryptococcal-meningitis/article/826408/" TargetMode="External"/><Relationship Id="rId5" Type="http://schemas.openxmlformats.org/officeDocument/2006/relationships/hyperlink" Target="https://www.infectiousdiseaseadvisor.com/sepsis/patients-with-lower-initial-blood-pressure-who-get-iv-fluids-at-lower-sepsis-related-mortality-risk/article/82512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Avicenna</cp:lastModifiedBy>
  <cp:revision>2</cp:revision>
  <dcterms:created xsi:type="dcterms:W3CDTF">2019-02-20T06:55:00Z</dcterms:created>
  <dcterms:modified xsi:type="dcterms:W3CDTF">2019-02-20T06:56:00Z</dcterms:modified>
</cp:coreProperties>
</file>