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280" w:rsidRPr="00E46280" w:rsidRDefault="00E46280" w:rsidP="00E46280">
      <w:pPr>
        <w:spacing w:before="100" w:beforeAutospacing="1" w:after="100" w:afterAutospacing="1" w:line="240" w:lineRule="auto"/>
        <w:outlineLvl w:val="0"/>
        <w:rPr>
          <w:rFonts w:ascii="Georgia" w:eastAsia="Times New Roman" w:hAnsi="Georgia" w:cs="Times New Roman"/>
          <w:b/>
          <w:bCs/>
          <w:color w:val="9B2D06"/>
          <w:kern w:val="36"/>
          <w:sz w:val="48"/>
          <w:szCs w:val="48"/>
        </w:rPr>
      </w:pPr>
      <w:r w:rsidRPr="00E46280">
        <w:rPr>
          <w:rFonts w:ascii="Georgia" w:eastAsia="Times New Roman" w:hAnsi="Georgia" w:cs="Times New Roman"/>
          <w:b/>
          <w:bCs/>
          <w:color w:val="9B2D06"/>
          <w:kern w:val="36"/>
          <w:sz w:val="48"/>
          <w:szCs w:val="48"/>
        </w:rPr>
        <w:br/>
        <w:t>Peptide Immunotherapy for Type 1 Diabetes: A Promising New Treatment</w:t>
      </w:r>
    </w:p>
    <w:p w:rsidR="00E46280" w:rsidRPr="00E46280" w:rsidRDefault="00E46280" w:rsidP="00E46280">
      <w:pPr>
        <w:spacing w:after="0" w:line="240" w:lineRule="auto"/>
        <w:rPr>
          <w:rFonts w:ascii="Times New Roman" w:eastAsia="Times New Roman" w:hAnsi="Times New Roman" w:cs="Times New Roman"/>
          <w:color w:val="666666"/>
          <w:sz w:val="24"/>
          <w:szCs w:val="24"/>
        </w:rPr>
      </w:pPr>
      <w:hyperlink r:id="rId5" w:history="1">
        <w:r w:rsidRPr="00E46280">
          <w:rPr>
            <w:rFonts w:ascii="Times New Roman" w:eastAsia="Times New Roman" w:hAnsi="Times New Roman" w:cs="Times New Roman"/>
            <w:b/>
            <w:bCs/>
            <w:color w:val="666666"/>
            <w:sz w:val="24"/>
            <w:szCs w:val="24"/>
            <w:u w:val="single"/>
          </w:rPr>
          <w:t>Crystal Wong, MD</w:t>
        </w:r>
      </w:hyperlink>
    </w:p>
    <w:p w:rsidR="00E46280" w:rsidRPr="00E46280" w:rsidRDefault="00E46280" w:rsidP="00E46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4445</wp:posOffset>
            </wp:positionV>
            <wp:extent cx="8191500" cy="5467350"/>
            <wp:effectExtent l="19050" t="0" r="0" b="0"/>
            <wp:wrapSquare wrapText="bothSides"/>
            <wp:docPr id="1" name="Picture 1" descr="Pancrea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creas illustration"/>
                    <pic:cNvPicPr>
                      <a:picLocks noChangeAspect="1" noChangeArrowheads="1"/>
                    </pic:cNvPicPr>
                  </pic:nvPicPr>
                  <pic:blipFill>
                    <a:blip r:embed="rId6"/>
                    <a:srcRect/>
                    <a:stretch>
                      <a:fillRect/>
                    </a:stretch>
                  </pic:blipFill>
                  <pic:spPr bwMode="auto">
                    <a:xfrm>
                      <a:off x="0" y="0"/>
                      <a:ext cx="8191500" cy="5467350"/>
                    </a:xfrm>
                    <a:prstGeom prst="rect">
                      <a:avLst/>
                    </a:prstGeom>
                    <a:noFill/>
                    <a:ln w="9525">
                      <a:noFill/>
                      <a:miter lim="800000"/>
                      <a:headEnd/>
                      <a:tailEnd/>
                    </a:ln>
                  </pic:spPr>
                </pic:pic>
              </a:graphicData>
            </a:graphic>
          </wp:anchor>
        </w:drawing>
      </w:r>
      <w:r w:rsidRPr="00E46280">
        <w:rPr>
          <w:rFonts w:ascii="Times New Roman" w:eastAsia="Times New Roman" w:hAnsi="Times New Roman" w:cs="Times New Roman"/>
          <w:sz w:val="24"/>
          <w:szCs w:val="24"/>
        </w:rPr>
        <w:t>Peptide immunotherapy offers a more nuanced approach that may reduce the risk for adverse effects in persons with type 1 diabetes.</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 xml:space="preserve">Type 1 diabetes is characterized by the autoimmune destruction of pancreatic beta cells, leading to progressively decreasing insulin secretion. As beta cells die, hyperglycemia becomes more persistent, and most persons with type 1 </w:t>
      </w:r>
      <w:r w:rsidRPr="00E46280">
        <w:rPr>
          <w:rFonts w:ascii="Arial" w:eastAsia="Times New Roman" w:hAnsi="Arial" w:cs="Arial"/>
          <w:color w:val="333333"/>
          <w:sz w:val="27"/>
          <w:szCs w:val="27"/>
        </w:rPr>
        <w:lastRenderedPageBreak/>
        <w:t>diabetes have chronic hyperglycemia and often suffer from complications such as nephropathy and retinopathy. At present, treatment for type 1 diabetes targets hyperglycemia, but does not affect the underlying autoimmune processes.</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Immunomodulatory treatment, or immunotherapy, seeks to influence the immunological pathways that mediate beta cell destruction.</w:t>
      </w:r>
      <w:r w:rsidRPr="00E46280">
        <w:rPr>
          <w:rFonts w:ascii="Arial" w:eastAsia="Times New Roman" w:hAnsi="Arial" w:cs="Arial"/>
          <w:color w:val="333333"/>
          <w:sz w:val="20"/>
          <w:szCs w:val="20"/>
          <w:vertAlign w:val="superscript"/>
        </w:rPr>
        <w:t>1</w:t>
      </w:r>
      <w:r w:rsidRPr="00E46280">
        <w:rPr>
          <w:rFonts w:ascii="Arial" w:eastAsia="Times New Roman" w:hAnsi="Arial" w:cs="Arial"/>
          <w:color w:val="333333"/>
          <w:sz w:val="27"/>
          <w:szCs w:val="27"/>
        </w:rPr>
        <w:t> “In the field of type 1 diabetes, we’ve been actively searching for ways to induce disease remission so that we can limit beta cell death, preserve endogenous insulin secretion, and limit the need for insulin injections,” Carmella Evans-Molina, MD, PhD, from the Center for Diabetes and Metabolic Diseases at Indiana University in Indianapolis, told </w:t>
      </w:r>
      <w:r w:rsidRPr="00E46280">
        <w:rPr>
          <w:rFonts w:ascii="Arial" w:eastAsia="Times New Roman" w:hAnsi="Arial" w:cs="Arial"/>
          <w:i/>
          <w:iCs/>
          <w:color w:val="333333"/>
          <w:sz w:val="27"/>
          <w:szCs w:val="27"/>
        </w:rPr>
        <w:t>Endocrinology Advisor</w:t>
      </w:r>
      <w:r w:rsidRPr="00E46280">
        <w:rPr>
          <w:rFonts w:ascii="Arial" w:eastAsia="Times New Roman" w:hAnsi="Arial" w:cs="Arial"/>
          <w:color w:val="333333"/>
          <w:sz w:val="27"/>
          <w:szCs w:val="27"/>
        </w:rPr>
        <w:t>.</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Although more than 25 years has been spent investigating immunotherapy for type 1 diabetes, no agent has proven to be effective at inducing remission in </w:t>
      </w:r>
      <w:hyperlink r:id="rId7" w:history="1">
        <w:r w:rsidRPr="00E46280">
          <w:rPr>
            <w:rFonts w:ascii="Arial" w:eastAsia="Times New Roman" w:hAnsi="Arial" w:cs="Arial"/>
            <w:color w:val="666666"/>
            <w:sz w:val="24"/>
            <w:szCs w:val="24"/>
            <w:u w:val="single"/>
          </w:rPr>
          <w:t>type 1 diabetes</w:t>
        </w:r>
      </w:hyperlink>
      <w:r w:rsidRPr="00E46280">
        <w:rPr>
          <w:rFonts w:ascii="Arial" w:eastAsia="Times New Roman" w:hAnsi="Arial" w:cs="Arial"/>
          <w:color w:val="333333"/>
          <w:sz w:val="27"/>
          <w:szCs w:val="27"/>
        </w:rPr>
        <w:t> with an acceptable safety profile. Advances in the understanding of autoimmune conditions have led to the development of antigen-specific immunotherapy (ASI) and a subset of ASI known as peptide immunotherapy. By using the short peptide epitope of a disease-related autoantigen instead of the whole antigen, peptide immunotherapy may curb the autoimmune process while avoiding undesirable adverse effects.</w:t>
      </w:r>
      <w:r w:rsidRPr="00E46280">
        <w:rPr>
          <w:rFonts w:ascii="Arial" w:eastAsia="Times New Roman" w:hAnsi="Arial" w:cs="Arial"/>
          <w:color w:val="333333"/>
          <w:sz w:val="20"/>
          <w:szCs w:val="20"/>
          <w:vertAlign w:val="superscript"/>
        </w:rPr>
        <w:t>1</w:t>
      </w:r>
      <w:r w:rsidRPr="00E46280">
        <w:rPr>
          <w:rFonts w:ascii="Arial" w:eastAsia="Times New Roman" w:hAnsi="Arial" w:cs="Arial"/>
          <w:color w:val="333333"/>
          <w:sz w:val="27"/>
          <w:szCs w:val="27"/>
        </w:rPr>
        <w:t> For instance, peptide immunotherapy has shown promise in clinical allergy while avoiding the immunoglobulin E-mediated hypersensitivity associated with whole-antigen immunotherapy.</w:t>
      </w:r>
      <w:r w:rsidRPr="00E46280">
        <w:rPr>
          <w:rFonts w:ascii="Arial" w:eastAsia="Times New Roman" w:hAnsi="Arial" w:cs="Arial"/>
          <w:color w:val="333333"/>
          <w:sz w:val="20"/>
          <w:szCs w:val="20"/>
          <w:vertAlign w:val="superscript"/>
        </w:rPr>
        <w:t>2</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“The way peptide immunotherapy works is a bit like when someone is allergic to dust mites or peanuts and receives treatment from an allergist to tolerize them against the allergen,” Dr Evans-Molina said. “With peptide immunotherapy, you’re administering small doses or small fragments of the peptide the immune system is reacting against, with the hope you can specifically turn off the immune system against that particular antigen.”</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“An alternative approach is to try to target the immune system with drugs that globally turn off T- or B-cell responses. However, compared to peptide immunotherapy, this approach puts people at increased risk of immune suppression. Peptide immunotherapy offers a more nuanced approach that may reduce the risk of side effects because you’re not completely turning off parts of the immune system needed to protect us from infections. Rather, you are trying to educate the immune system to stop a specific immune response” she added.</w:t>
      </w:r>
    </w:p>
    <w:p w:rsidR="00E46280" w:rsidRPr="00E46280" w:rsidRDefault="00E46280" w:rsidP="00E46280">
      <w:pPr>
        <w:shd w:val="clear" w:color="auto" w:fill="FFFFFF"/>
        <w:spacing w:after="120" w:line="240" w:lineRule="auto"/>
        <w:outlineLvl w:val="1"/>
        <w:rPr>
          <w:rFonts w:ascii="Arial" w:eastAsia="Times New Roman" w:hAnsi="Arial" w:cs="Arial"/>
          <w:b/>
          <w:bCs/>
          <w:color w:val="9B2D06"/>
          <w:sz w:val="36"/>
          <w:szCs w:val="36"/>
        </w:rPr>
      </w:pPr>
      <w:r w:rsidRPr="00E46280">
        <w:rPr>
          <w:rFonts w:ascii="Arial" w:eastAsia="Times New Roman" w:hAnsi="Arial" w:cs="Arial"/>
          <w:b/>
          <w:bCs/>
          <w:color w:val="9B2D06"/>
          <w:sz w:val="36"/>
          <w:szCs w:val="36"/>
        </w:rPr>
        <w:t>Peptide Immunotherapy: Proof of Concept</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lastRenderedPageBreak/>
        <w:t>A novel form of peptide immunotherapy is now being considered as a potential treatment for type 1 diabetes. A phase 1 study published in </w:t>
      </w:r>
      <w:r w:rsidRPr="00E46280">
        <w:rPr>
          <w:rFonts w:ascii="Arial" w:eastAsia="Times New Roman" w:hAnsi="Arial" w:cs="Arial"/>
          <w:i/>
          <w:iCs/>
          <w:color w:val="333333"/>
          <w:sz w:val="27"/>
          <w:szCs w:val="27"/>
        </w:rPr>
        <w:t>Science Translational Medicine </w:t>
      </w:r>
      <w:r w:rsidRPr="00E46280">
        <w:rPr>
          <w:rFonts w:ascii="Arial" w:eastAsia="Times New Roman" w:hAnsi="Arial" w:cs="Arial"/>
          <w:color w:val="333333"/>
          <w:sz w:val="27"/>
          <w:szCs w:val="27"/>
        </w:rPr>
        <w:t>examined the safety and metabolic effects of proinsulin peptide C19-A3, a peptide “representing an immunodominant region of proinsulin presented by the human leukocyte antigen (HLA) class II diabetes risk molecule HLA-DR4 (</w:t>
      </w:r>
      <w:r w:rsidRPr="00E46280">
        <w:rPr>
          <w:rFonts w:ascii="Arial" w:eastAsia="Times New Roman" w:hAnsi="Arial" w:cs="Arial"/>
          <w:i/>
          <w:iCs/>
          <w:color w:val="333333"/>
          <w:sz w:val="27"/>
          <w:szCs w:val="27"/>
        </w:rPr>
        <w:t>DRB1*0401</w:t>
      </w:r>
      <w:r w:rsidRPr="00E46280">
        <w:rPr>
          <w:rFonts w:ascii="Arial" w:eastAsia="Times New Roman" w:hAnsi="Arial" w:cs="Arial"/>
          <w:color w:val="333333"/>
          <w:sz w:val="27"/>
          <w:szCs w:val="27"/>
        </w:rPr>
        <w:t>).”</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 prior study that examined proinsulin peptide C19-A3 in patients with chronic type 1 diabetes and the </w:t>
      </w:r>
      <w:r w:rsidRPr="00E46280">
        <w:rPr>
          <w:rFonts w:ascii="Arial" w:eastAsia="Times New Roman" w:hAnsi="Arial" w:cs="Arial"/>
          <w:i/>
          <w:iCs/>
          <w:color w:val="333333"/>
          <w:sz w:val="27"/>
          <w:szCs w:val="27"/>
        </w:rPr>
        <w:t>DRB1*0401 </w:t>
      </w:r>
      <w:r w:rsidRPr="00E46280">
        <w:rPr>
          <w:rFonts w:ascii="Arial" w:eastAsia="Times New Roman" w:hAnsi="Arial" w:cs="Arial"/>
          <w:color w:val="333333"/>
          <w:sz w:val="27"/>
          <w:szCs w:val="27"/>
        </w:rPr>
        <w:t>genotype showed that the treatment was well tolerated.</w:t>
      </w:r>
      <w:r w:rsidRPr="00E46280">
        <w:rPr>
          <w:rFonts w:ascii="Arial" w:eastAsia="Times New Roman" w:hAnsi="Arial" w:cs="Arial"/>
          <w:color w:val="333333"/>
          <w:sz w:val="20"/>
          <w:szCs w:val="20"/>
          <w:vertAlign w:val="superscript"/>
        </w:rPr>
        <w:t>3</w:t>
      </w:r>
      <w:r w:rsidRPr="00E46280">
        <w:rPr>
          <w:rFonts w:ascii="Arial" w:eastAsia="Times New Roman" w:hAnsi="Arial" w:cs="Arial"/>
          <w:color w:val="333333"/>
          <w:sz w:val="27"/>
          <w:szCs w:val="27"/>
        </w:rPr>
        <w:t> However, because the participants had long-standing disease and absent circulating C-peptide, suggesting preexisting extensive beta cell destruction, the investigators indicated that additional studies in patients with new-onset type 1 diabetes were needed.</w:t>
      </w:r>
      <w:r w:rsidRPr="00E46280">
        <w:rPr>
          <w:rFonts w:ascii="Arial" w:eastAsia="Times New Roman" w:hAnsi="Arial" w:cs="Arial"/>
          <w:color w:val="333333"/>
          <w:sz w:val="20"/>
          <w:szCs w:val="20"/>
          <w:vertAlign w:val="superscript"/>
        </w:rPr>
        <w:t>1,3</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Researchers, led by Mohammad Alhadj Ali, MD, PgDip, MSc, PhD, from Cardiff University in the United Kingdom, and Yuk-Fun Liu, MBBS, MSc, MRCP, from King’s College London in the United Kingdom, evaluated the safety and metabolic effects of proinsulin peptide C19-A3 in patients with a new diagnosis of type 1 diabetes (within 100 days), the </w:t>
      </w:r>
      <w:r w:rsidRPr="00E46280">
        <w:rPr>
          <w:rFonts w:ascii="Arial" w:eastAsia="Times New Roman" w:hAnsi="Arial" w:cs="Arial"/>
          <w:i/>
          <w:iCs/>
          <w:color w:val="333333"/>
          <w:sz w:val="27"/>
          <w:szCs w:val="27"/>
        </w:rPr>
        <w:t>DRB1*0401 </w:t>
      </w:r>
      <w:r w:rsidRPr="00E46280">
        <w:rPr>
          <w:rFonts w:ascii="Arial" w:eastAsia="Times New Roman" w:hAnsi="Arial" w:cs="Arial"/>
          <w:color w:val="333333"/>
          <w:sz w:val="27"/>
          <w:szCs w:val="27"/>
        </w:rPr>
        <w:t>genotype, and residual circulating C-peptide.</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 total of 27 patients were randomly assigned to proinsulin peptide C19-A3 administered intradermally every 2 weeks (high frequency) or every 4 weeks (low frequency), or to placebo. Patients were treated for 6 months and were followed up for 6 months posttreatment.</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Erythematous skin reactions at injection sites, without swelling or local wheal, were observed in 89%, 100%, and 50% of patients in the high-frequency, low-frequency, and placebo groups. No serious adverse events or hypersensitivity reactions were reported.</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Compared with placebo, the proinsulin peptide C19-A3 groups did not experience accelerated beta cell loss as measured by C-peptide area under the curve.</w:t>
      </w:r>
      <w:r w:rsidRPr="00E46280">
        <w:rPr>
          <w:rFonts w:ascii="Arial" w:eastAsia="Times New Roman" w:hAnsi="Arial" w:cs="Arial"/>
          <w:color w:val="333333"/>
          <w:sz w:val="20"/>
          <w:szCs w:val="20"/>
          <w:vertAlign w:val="superscript"/>
        </w:rPr>
        <w:t>1</w:t>
      </w:r>
      <w:r w:rsidRPr="00E46280">
        <w:rPr>
          <w:rFonts w:ascii="Arial" w:eastAsia="Times New Roman" w:hAnsi="Arial" w:cs="Arial"/>
          <w:color w:val="333333"/>
          <w:sz w:val="27"/>
          <w:szCs w:val="27"/>
        </w:rPr>
        <w:t> “This is an important proof-of-concept study demonstrating the safety of this approach,” Dr Evans-Molina said.</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“Moreover, there were some hints that individuals receiving the proinsulin peptide had less beta cell stress and stabilization of their C-peptide levels,” she added.</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 xml:space="preserve">Patients receiving placebo experienced a significantly greater decline in C-peptide levels than the patients in the high-frequency and low-frequency groups at 3, 6, 9, and 12 months. Among both proinsulin peptide treatment </w:t>
      </w:r>
      <w:r w:rsidRPr="00E46280">
        <w:rPr>
          <w:rFonts w:ascii="Arial" w:eastAsia="Times New Roman" w:hAnsi="Arial" w:cs="Arial"/>
          <w:color w:val="333333"/>
          <w:sz w:val="27"/>
          <w:szCs w:val="27"/>
        </w:rPr>
        <w:lastRenderedPageBreak/>
        <w:t>groups, there were no significant changes in C-peptide levels compared with baseline at 3, 6, or 9 months.</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The daily insulin requirement increased by 50% by 12 months in the placebo group but remained unchanged in both proinsulin peptide groups. In fact, the average daily insulin dose at 12 months was significantly lower in the high-frequency and low-frequency groups than in the placebo group (</w:t>
      </w:r>
      <w:r w:rsidRPr="00E46280">
        <w:rPr>
          <w:rFonts w:ascii="Arial" w:eastAsia="Times New Roman" w:hAnsi="Arial" w:cs="Arial"/>
          <w:i/>
          <w:iCs/>
          <w:color w:val="333333"/>
          <w:sz w:val="27"/>
          <w:szCs w:val="27"/>
        </w:rPr>
        <w:t>P </w:t>
      </w:r>
      <w:r w:rsidRPr="00E46280">
        <w:rPr>
          <w:rFonts w:ascii="Arial" w:eastAsia="Times New Roman" w:hAnsi="Arial" w:cs="Arial"/>
          <w:color w:val="333333"/>
          <w:sz w:val="27"/>
          <w:szCs w:val="27"/>
        </w:rPr>
        <w:t>=.01 and .009, respectively).</w:t>
      </w:r>
      <w:r w:rsidRPr="00E46280">
        <w:rPr>
          <w:rFonts w:ascii="Arial" w:eastAsia="Times New Roman" w:hAnsi="Arial" w:cs="Arial"/>
          <w:color w:val="333333"/>
          <w:sz w:val="20"/>
          <w:szCs w:val="20"/>
          <w:vertAlign w:val="superscript"/>
        </w:rPr>
        <w:t>1</w:t>
      </w:r>
    </w:p>
    <w:p w:rsidR="00E46280" w:rsidRPr="00E46280" w:rsidRDefault="00E46280" w:rsidP="00E46280">
      <w:pPr>
        <w:shd w:val="clear" w:color="auto" w:fill="FFFFFF"/>
        <w:spacing w:before="480" w:after="120" w:line="240" w:lineRule="auto"/>
        <w:outlineLvl w:val="1"/>
        <w:rPr>
          <w:rFonts w:ascii="Arial" w:eastAsia="Times New Roman" w:hAnsi="Arial" w:cs="Arial"/>
          <w:b/>
          <w:bCs/>
          <w:color w:val="9B2D06"/>
          <w:sz w:val="36"/>
          <w:szCs w:val="36"/>
        </w:rPr>
      </w:pPr>
      <w:r w:rsidRPr="00E46280">
        <w:rPr>
          <w:rFonts w:ascii="Arial" w:eastAsia="Times New Roman" w:hAnsi="Arial" w:cs="Arial"/>
          <w:b/>
          <w:bCs/>
          <w:color w:val="9B2D06"/>
          <w:sz w:val="36"/>
          <w:szCs w:val="36"/>
        </w:rPr>
        <w:t>Peptide Immunotherapy: The Future?</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According to Dr Evans-Molina, the proinsulin peptide C19-A3 study in new-onset type 1 diabetes provided proof of principle that peptide immunotherapy may offer a personalized approach to modulating the immune response in persons with type 1 diabetes. This study showed that tolerizing patients with the </w:t>
      </w:r>
      <w:r w:rsidRPr="00E46280">
        <w:rPr>
          <w:rFonts w:ascii="Arial" w:eastAsia="Times New Roman" w:hAnsi="Arial" w:cs="Arial"/>
          <w:i/>
          <w:iCs/>
          <w:color w:val="333333"/>
          <w:sz w:val="27"/>
          <w:szCs w:val="27"/>
        </w:rPr>
        <w:t>DRB1*0401 </w:t>
      </w:r>
      <w:r w:rsidRPr="00E46280">
        <w:rPr>
          <w:rFonts w:ascii="Arial" w:eastAsia="Times New Roman" w:hAnsi="Arial" w:cs="Arial"/>
          <w:color w:val="333333"/>
          <w:sz w:val="27"/>
          <w:szCs w:val="27"/>
        </w:rPr>
        <w:t>genotype against proinsulin, the autoantigen specific to this genotype, was safe and potentially feasible.</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“Although this was primarily a safety study, there’s some evidence to suggest this particular peptide immunotherapy stabilized insulin secretion and had some beneficial effects on the beta cells,” Dr Evans-Molina said.</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However, Dr Evans-Molina believes that the greatest potential for peptide immunotherapy in type 1 diabetes lies with disease prevention. “Next, we need to think about studying promising peptide immunotherapies in the early stages of the disease, when autoantibodies are present, but before significant beta cell loss has occurred,” she said.</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“As you might imagine, when somebody loses enough of their beta cells to become diabetic, there may not be a lot of remaining beta cells to fight for. Also, we don’t know if peptide immunotherapy should be combined with drugs that target other aspects of the immune system. All of these possibilities and combinations need to be tested. Thus, it is critically important that we continue to fund studies aimed at preventing type 1 diabetes.”</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In addition, stabilizing beta cell function may still be an important intervention for persons who have already been diagnosed with type 1 diabetes. “Any preservation of beta cell function is often very beneficial,” Dr Evans-Molina noted. “Individuals with type 1 diabetes who have residual beta cell function, often have diabetes that is easier to manage, fewer complications, and less hypoglycemia.”</w:t>
      </w:r>
    </w:p>
    <w:p w:rsidR="00E46280" w:rsidRPr="00E46280" w:rsidRDefault="00E46280" w:rsidP="00E46280">
      <w:pPr>
        <w:shd w:val="clear" w:color="auto" w:fill="FFFFFF"/>
        <w:spacing w:after="240" w:line="240" w:lineRule="auto"/>
        <w:rPr>
          <w:rFonts w:ascii="Arial" w:eastAsia="Times New Roman" w:hAnsi="Arial" w:cs="Arial"/>
          <w:color w:val="333333"/>
          <w:sz w:val="27"/>
          <w:szCs w:val="27"/>
        </w:rPr>
      </w:pPr>
      <w:r w:rsidRPr="00E46280">
        <w:rPr>
          <w:rFonts w:ascii="Arial" w:eastAsia="Times New Roman" w:hAnsi="Arial" w:cs="Arial"/>
          <w:i/>
          <w:iCs/>
          <w:color w:val="333333"/>
          <w:sz w:val="27"/>
          <w:szCs w:val="27"/>
        </w:rPr>
        <w:lastRenderedPageBreak/>
        <w:t>King’s College London holds a license agreement with UCB Pharma for peptide therapy development. Several investigators in the proinsulin peptide C19-A3 study in patients with new-onset type 1 diabetes (Alhadj, et al)</w:t>
      </w:r>
      <w:r w:rsidRPr="00E46280">
        <w:rPr>
          <w:rFonts w:ascii="Arial" w:eastAsia="Times New Roman" w:hAnsi="Arial" w:cs="Arial"/>
          <w:color w:val="333333"/>
          <w:sz w:val="27"/>
          <w:szCs w:val="27"/>
        </w:rPr>
        <w:t> </w:t>
      </w:r>
      <w:r w:rsidRPr="00E46280">
        <w:rPr>
          <w:rFonts w:ascii="Arial" w:eastAsia="Times New Roman" w:hAnsi="Arial" w:cs="Arial"/>
          <w:i/>
          <w:iCs/>
          <w:color w:val="333333"/>
          <w:sz w:val="27"/>
          <w:szCs w:val="27"/>
        </w:rPr>
        <w:t>are inventors on patents that cover peptides related to type 1 diabetes immunotherapy or have served as paid consultants for UCB Pharma for a phase 2 study design.</w:t>
      </w:r>
    </w:p>
    <w:p w:rsidR="00E46280" w:rsidRPr="00E46280" w:rsidRDefault="00E46280" w:rsidP="00E46280">
      <w:pPr>
        <w:shd w:val="clear" w:color="auto" w:fill="FFFFFF"/>
        <w:spacing w:before="480" w:after="120" w:line="240" w:lineRule="auto"/>
        <w:outlineLvl w:val="1"/>
        <w:rPr>
          <w:rFonts w:ascii="Arial" w:eastAsia="Times New Roman" w:hAnsi="Arial" w:cs="Arial"/>
          <w:b/>
          <w:bCs/>
          <w:color w:val="9B2D06"/>
          <w:sz w:val="36"/>
          <w:szCs w:val="36"/>
        </w:rPr>
      </w:pPr>
      <w:r w:rsidRPr="00E46280">
        <w:rPr>
          <w:rFonts w:ascii="Arial" w:eastAsia="Times New Roman" w:hAnsi="Arial" w:cs="Arial"/>
          <w:b/>
          <w:bCs/>
          <w:color w:val="9B2D06"/>
          <w:sz w:val="36"/>
          <w:szCs w:val="36"/>
        </w:rPr>
        <w:t>References</w:t>
      </w:r>
    </w:p>
    <w:p w:rsidR="00E46280" w:rsidRPr="00E46280" w:rsidRDefault="00E46280" w:rsidP="00E46280">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Alhadj Ali M, Liu YF, Arif S, et al. </w:t>
      </w:r>
      <w:hyperlink r:id="rId8" w:tgtFrame="_blank" w:history="1">
        <w:r w:rsidRPr="00E46280">
          <w:rPr>
            <w:rFonts w:ascii="Arial" w:eastAsia="Times New Roman" w:hAnsi="Arial" w:cs="Arial"/>
            <w:color w:val="666666"/>
            <w:sz w:val="24"/>
            <w:szCs w:val="24"/>
            <w:u w:val="single"/>
          </w:rPr>
          <w:t>Metabolic and immune effects of immunotherapy with proinsulin peptide in human new-onset type 1 diabetes</w:t>
        </w:r>
      </w:hyperlink>
      <w:r w:rsidRPr="00E46280">
        <w:rPr>
          <w:rFonts w:ascii="Arial" w:eastAsia="Times New Roman" w:hAnsi="Arial" w:cs="Arial"/>
          <w:color w:val="333333"/>
          <w:sz w:val="27"/>
          <w:szCs w:val="27"/>
        </w:rPr>
        <w:t>. </w:t>
      </w:r>
      <w:r w:rsidRPr="00E46280">
        <w:rPr>
          <w:rFonts w:ascii="Arial" w:eastAsia="Times New Roman" w:hAnsi="Arial" w:cs="Arial"/>
          <w:i/>
          <w:iCs/>
          <w:color w:val="333333"/>
          <w:sz w:val="27"/>
          <w:szCs w:val="27"/>
        </w:rPr>
        <w:t>Sci Transl Med</w:t>
      </w:r>
      <w:r w:rsidRPr="00E46280">
        <w:rPr>
          <w:rFonts w:ascii="Arial" w:eastAsia="Times New Roman" w:hAnsi="Arial" w:cs="Arial"/>
          <w:color w:val="333333"/>
          <w:sz w:val="27"/>
          <w:szCs w:val="27"/>
        </w:rPr>
        <w:t>. 2017;9(402):eaaf7779. doi: 10.1126/scitranslmed.aaf7779</w:t>
      </w:r>
    </w:p>
    <w:p w:rsidR="00E46280" w:rsidRPr="00E46280" w:rsidRDefault="00E46280" w:rsidP="00E46280">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Larché M, Wraith DC. </w:t>
      </w:r>
      <w:hyperlink r:id="rId9" w:tgtFrame="_blank" w:history="1">
        <w:r w:rsidRPr="00E46280">
          <w:rPr>
            <w:rFonts w:ascii="Arial" w:eastAsia="Times New Roman" w:hAnsi="Arial" w:cs="Arial"/>
            <w:color w:val="666666"/>
            <w:sz w:val="24"/>
            <w:szCs w:val="24"/>
            <w:u w:val="single"/>
          </w:rPr>
          <w:t>Peptide-based therapeutic vaccines for allergic and autoimmune diseases</w:t>
        </w:r>
      </w:hyperlink>
      <w:r w:rsidRPr="00E46280">
        <w:rPr>
          <w:rFonts w:ascii="Arial" w:eastAsia="Times New Roman" w:hAnsi="Arial" w:cs="Arial"/>
          <w:color w:val="333333"/>
          <w:sz w:val="27"/>
          <w:szCs w:val="27"/>
        </w:rPr>
        <w:t>. </w:t>
      </w:r>
      <w:r w:rsidRPr="00E46280">
        <w:rPr>
          <w:rFonts w:ascii="Arial" w:eastAsia="Times New Roman" w:hAnsi="Arial" w:cs="Arial"/>
          <w:i/>
          <w:iCs/>
          <w:color w:val="333333"/>
          <w:sz w:val="27"/>
          <w:szCs w:val="27"/>
        </w:rPr>
        <w:t>Nat Med</w:t>
      </w:r>
      <w:r w:rsidRPr="00E46280">
        <w:rPr>
          <w:rFonts w:ascii="Arial" w:eastAsia="Times New Roman" w:hAnsi="Arial" w:cs="Arial"/>
          <w:color w:val="333333"/>
          <w:sz w:val="27"/>
          <w:szCs w:val="27"/>
        </w:rPr>
        <w:t>. 2005;11(4 Suppl):S69-S76. doi: 10.1038/nm1226</w:t>
      </w:r>
    </w:p>
    <w:p w:rsidR="00E46280" w:rsidRPr="00E46280" w:rsidRDefault="00E46280" w:rsidP="00E46280">
      <w:pPr>
        <w:numPr>
          <w:ilvl w:val="0"/>
          <w:numId w:val="3"/>
        </w:numPr>
        <w:shd w:val="clear" w:color="auto" w:fill="FFFFFF"/>
        <w:spacing w:before="100" w:beforeAutospacing="1" w:after="100" w:afterAutospacing="1" w:line="240" w:lineRule="auto"/>
        <w:rPr>
          <w:rFonts w:ascii="Arial" w:eastAsia="Times New Roman" w:hAnsi="Arial" w:cs="Arial"/>
          <w:color w:val="333333"/>
          <w:sz w:val="27"/>
          <w:szCs w:val="27"/>
        </w:rPr>
      </w:pPr>
      <w:r w:rsidRPr="00E46280">
        <w:rPr>
          <w:rFonts w:ascii="Arial" w:eastAsia="Times New Roman" w:hAnsi="Arial" w:cs="Arial"/>
          <w:color w:val="333333"/>
          <w:sz w:val="27"/>
          <w:szCs w:val="27"/>
        </w:rPr>
        <w:t>Thrower SL, James L, Hall W, et al. </w:t>
      </w:r>
      <w:hyperlink r:id="rId10" w:tgtFrame="_blank" w:history="1">
        <w:r w:rsidRPr="00E46280">
          <w:rPr>
            <w:rFonts w:ascii="Arial" w:eastAsia="Times New Roman" w:hAnsi="Arial" w:cs="Arial"/>
            <w:color w:val="666666"/>
            <w:sz w:val="24"/>
            <w:szCs w:val="24"/>
            <w:u w:val="single"/>
          </w:rPr>
          <w:t>Proinsulin peptide immunotherapy in type 1 diabetes: report of a first-in-man Phase I safety study</w:t>
        </w:r>
      </w:hyperlink>
      <w:r w:rsidRPr="00E46280">
        <w:rPr>
          <w:rFonts w:ascii="Arial" w:eastAsia="Times New Roman" w:hAnsi="Arial" w:cs="Arial"/>
          <w:color w:val="333333"/>
          <w:sz w:val="27"/>
          <w:szCs w:val="27"/>
        </w:rPr>
        <w:t>. </w:t>
      </w:r>
      <w:r w:rsidRPr="00E46280">
        <w:rPr>
          <w:rFonts w:ascii="Arial" w:eastAsia="Times New Roman" w:hAnsi="Arial" w:cs="Arial"/>
          <w:i/>
          <w:iCs/>
          <w:color w:val="333333"/>
          <w:sz w:val="27"/>
          <w:szCs w:val="27"/>
        </w:rPr>
        <w:t>Clin Exp Immunol</w:t>
      </w:r>
      <w:r w:rsidRPr="00E46280">
        <w:rPr>
          <w:rFonts w:ascii="Arial" w:eastAsia="Times New Roman" w:hAnsi="Arial" w:cs="Arial"/>
          <w:color w:val="333333"/>
          <w:sz w:val="27"/>
          <w:szCs w:val="27"/>
        </w:rPr>
        <w:t>. 2009;155(2):156-165.</w:t>
      </w:r>
    </w:p>
    <w:p w:rsidR="003B12AA" w:rsidRDefault="003B12AA"/>
    <w:sectPr w:rsidR="003B12AA" w:rsidSect="003B12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4FE"/>
    <w:multiLevelType w:val="multilevel"/>
    <w:tmpl w:val="4328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0216A"/>
    <w:multiLevelType w:val="multilevel"/>
    <w:tmpl w:val="4546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F3672D"/>
    <w:multiLevelType w:val="multilevel"/>
    <w:tmpl w:val="6C78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6280"/>
    <w:rsid w:val="003B12AA"/>
    <w:rsid w:val="00E46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AA"/>
  </w:style>
  <w:style w:type="paragraph" w:styleId="Heading1">
    <w:name w:val="heading 1"/>
    <w:basedOn w:val="Normal"/>
    <w:link w:val="Heading1Char"/>
    <w:uiPriority w:val="9"/>
    <w:qFormat/>
    <w:rsid w:val="00E46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2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2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2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280"/>
    <w:rPr>
      <w:rFonts w:ascii="Times New Roman" w:eastAsia="Times New Roman" w:hAnsi="Times New Roman" w:cs="Times New Roman"/>
      <w:b/>
      <w:bCs/>
      <w:sz w:val="27"/>
      <w:szCs w:val="27"/>
    </w:rPr>
  </w:style>
  <w:style w:type="character" w:customStyle="1" w:styleId="name">
    <w:name w:val="name"/>
    <w:basedOn w:val="DefaultParagraphFont"/>
    <w:rsid w:val="00E46280"/>
  </w:style>
  <w:style w:type="character" w:styleId="Hyperlink">
    <w:name w:val="Hyperlink"/>
    <w:basedOn w:val="DefaultParagraphFont"/>
    <w:uiPriority w:val="99"/>
    <w:semiHidden/>
    <w:unhideWhenUsed/>
    <w:rsid w:val="00E46280"/>
    <w:rPr>
      <w:color w:val="0000FF"/>
      <w:u w:val="single"/>
    </w:rPr>
  </w:style>
  <w:style w:type="character" w:customStyle="1" w:styleId="screen-reader-text">
    <w:name w:val="screen-reader-text"/>
    <w:basedOn w:val="DefaultParagraphFont"/>
    <w:rsid w:val="00E46280"/>
  </w:style>
  <w:style w:type="paragraph" w:styleId="NormalWeb">
    <w:name w:val="Normal (Web)"/>
    <w:basedOn w:val="Normal"/>
    <w:uiPriority w:val="99"/>
    <w:semiHidden/>
    <w:unhideWhenUsed/>
    <w:rsid w:val="00E46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6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997886">
      <w:bodyDiv w:val="1"/>
      <w:marLeft w:val="0"/>
      <w:marRight w:val="0"/>
      <w:marTop w:val="0"/>
      <w:marBottom w:val="0"/>
      <w:divBdr>
        <w:top w:val="none" w:sz="0" w:space="0" w:color="auto"/>
        <w:left w:val="none" w:sz="0" w:space="0" w:color="auto"/>
        <w:bottom w:val="none" w:sz="0" w:space="0" w:color="auto"/>
        <w:right w:val="none" w:sz="0" w:space="0" w:color="auto"/>
      </w:divBdr>
      <w:divsChild>
        <w:div w:id="307170051">
          <w:marLeft w:val="0"/>
          <w:marRight w:val="0"/>
          <w:marTop w:val="0"/>
          <w:marBottom w:val="0"/>
          <w:divBdr>
            <w:top w:val="none" w:sz="0" w:space="0" w:color="auto"/>
            <w:left w:val="none" w:sz="0" w:space="0" w:color="auto"/>
            <w:bottom w:val="none" w:sz="0" w:space="0" w:color="auto"/>
            <w:right w:val="none" w:sz="0" w:space="0" w:color="auto"/>
          </w:divBdr>
          <w:divsChild>
            <w:div w:id="1888562697">
              <w:marLeft w:val="0"/>
              <w:marRight w:val="0"/>
              <w:marTop w:val="0"/>
              <w:marBottom w:val="0"/>
              <w:divBdr>
                <w:top w:val="none" w:sz="0" w:space="0" w:color="auto"/>
                <w:left w:val="none" w:sz="0" w:space="0" w:color="auto"/>
                <w:bottom w:val="none" w:sz="0" w:space="0" w:color="auto"/>
                <w:right w:val="none" w:sz="0" w:space="0" w:color="auto"/>
              </w:divBdr>
              <w:divsChild>
                <w:div w:id="328674086">
                  <w:marLeft w:val="0"/>
                  <w:marRight w:val="0"/>
                  <w:marTop w:val="0"/>
                  <w:marBottom w:val="0"/>
                  <w:divBdr>
                    <w:top w:val="none" w:sz="0" w:space="0" w:color="auto"/>
                    <w:left w:val="none" w:sz="0" w:space="0" w:color="auto"/>
                    <w:bottom w:val="none" w:sz="0" w:space="0" w:color="auto"/>
                    <w:right w:val="none" w:sz="0" w:space="0" w:color="auto"/>
                  </w:divBdr>
                  <w:divsChild>
                    <w:div w:id="11393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8628">
          <w:marLeft w:val="0"/>
          <w:marRight w:val="0"/>
          <w:marTop w:val="0"/>
          <w:marBottom w:val="0"/>
          <w:divBdr>
            <w:top w:val="none" w:sz="0" w:space="0" w:color="auto"/>
            <w:left w:val="none" w:sz="0" w:space="0" w:color="auto"/>
            <w:bottom w:val="none" w:sz="0" w:space="0" w:color="auto"/>
            <w:right w:val="none" w:sz="0" w:space="0" w:color="auto"/>
          </w:divBdr>
        </w:div>
        <w:div w:id="518085338">
          <w:marLeft w:val="0"/>
          <w:marRight w:val="0"/>
          <w:marTop w:val="0"/>
          <w:marBottom w:val="0"/>
          <w:divBdr>
            <w:top w:val="none" w:sz="0" w:space="0" w:color="auto"/>
            <w:left w:val="none" w:sz="0" w:space="0" w:color="auto"/>
            <w:bottom w:val="none" w:sz="0" w:space="0" w:color="auto"/>
            <w:right w:val="none" w:sz="0" w:space="0" w:color="auto"/>
          </w:divBdr>
        </w:div>
        <w:div w:id="1686594374">
          <w:marLeft w:val="0"/>
          <w:marRight w:val="0"/>
          <w:marTop w:val="0"/>
          <w:marBottom w:val="0"/>
          <w:divBdr>
            <w:top w:val="none" w:sz="0" w:space="0" w:color="auto"/>
            <w:left w:val="none" w:sz="0" w:space="0" w:color="auto"/>
            <w:bottom w:val="none" w:sz="0" w:space="0" w:color="auto"/>
            <w:right w:val="none" w:sz="0" w:space="0" w:color="auto"/>
          </w:divBdr>
          <w:divsChild>
            <w:div w:id="1964654862">
              <w:marLeft w:val="0"/>
              <w:marRight w:val="0"/>
              <w:marTop w:val="0"/>
              <w:marBottom w:val="0"/>
              <w:divBdr>
                <w:top w:val="none" w:sz="0" w:space="0" w:color="auto"/>
                <w:left w:val="none" w:sz="0" w:space="0" w:color="auto"/>
                <w:bottom w:val="none" w:sz="0" w:space="0" w:color="auto"/>
                <w:right w:val="none" w:sz="0" w:space="0" w:color="auto"/>
              </w:divBdr>
              <w:divsChild>
                <w:div w:id="19310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sciencemag.org/content/9/402/eaaf7779" TargetMode="External"/><Relationship Id="rId3" Type="http://schemas.openxmlformats.org/officeDocument/2006/relationships/settings" Target="settings.xml"/><Relationship Id="rId7" Type="http://schemas.openxmlformats.org/officeDocument/2006/relationships/hyperlink" Target="https://www.endocrinologyadvisor.com/home/conference-highlights/easd-2017/t1d-risk-increased-following-influenza-a-h1n1-diagnosis-in-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endocrinologyadvisor.com/author/crystal-wong-md/" TargetMode="External"/><Relationship Id="rId10" Type="http://schemas.openxmlformats.org/officeDocument/2006/relationships/hyperlink" Target="http://onlinelibrary.wiley.com/doi/10.1111/j.1365-2249.2008.03814.x/full" TargetMode="External"/><Relationship Id="rId4" Type="http://schemas.openxmlformats.org/officeDocument/2006/relationships/webSettings" Target="webSettings.xml"/><Relationship Id="rId9" Type="http://schemas.openxmlformats.org/officeDocument/2006/relationships/hyperlink" Target="https://www.nature.com/nm/journal/v11/n4s/full/nm1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ASIF ALI</dc:creator>
  <cp:lastModifiedBy>MALIK ASIF ALI</cp:lastModifiedBy>
  <cp:revision>1</cp:revision>
  <dcterms:created xsi:type="dcterms:W3CDTF">2019-02-22T06:01:00Z</dcterms:created>
  <dcterms:modified xsi:type="dcterms:W3CDTF">2019-02-22T06:01:00Z</dcterms:modified>
</cp:coreProperties>
</file>