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29" w:rsidRPr="00312C29" w:rsidRDefault="00312C29" w:rsidP="00312C29">
      <w:pPr>
        <w:shd w:val="clear" w:color="auto" w:fill="FFFFFF"/>
        <w:spacing w:before="150" w:after="150" w:line="420" w:lineRule="atLeast"/>
        <w:outlineLvl w:val="0"/>
        <w:rPr>
          <w:rFonts w:ascii="Georgia" w:eastAsia="Times New Roman" w:hAnsi="Georgia" w:cs="Times New Roman"/>
          <w:color w:val="333333"/>
          <w:kern w:val="36"/>
          <w:sz w:val="38"/>
          <w:szCs w:val="38"/>
        </w:rPr>
      </w:pPr>
      <w:r w:rsidRPr="00312C29">
        <w:rPr>
          <w:rFonts w:ascii="Georgia" w:eastAsia="Times New Roman" w:hAnsi="Georgia" w:cs="Times New Roman"/>
          <w:color w:val="333333"/>
          <w:kern w:val="36"/>
          <w:sz w:val="38"/>
          <w:szCs w:val="38"/>
        </w:rPr>
        <w:t>Nonmedical Switching in Rheumatic Disease: An Interview With Allan Gibofsky, MD</w:t>
      </w:r>
    </w:p>
    <w:p w:rsidR="00312C29" w:rsidRPr="00312C29" w:rsidRDefault="00312C29" w:rsidP="00312C29">
      <w:pPr>
        <w:shd w:val="clear" w:color="auto" w:fill="FFFFFF"/>
        <w:spacing w:after="0" w:line="240" w:lineRule="auto"/>
        <w:rPr>
          <w:rFonts w:ascii="Arial" w:eastAsia="Times New Roman" w:hAnsi="Arial" w:cs="Arial"/>
          <w:color w:val="000000"/>
          <w:sz w:val="24"/>
          <w:szCs w:val="24"/>
        </w:rPr>
      </w:pPr>
      <w:r w:rsidRPr="00312C29">
        <w:rPr>
          <w:rFonts w:ascii="Arial" w:eastAsia="Times New Roman" w:hAnsi="Arial" w:cs="Arial"/>
          <w:color w:val="666666"/>
          <w:sz w:val="18"/>
          <w:szCs w:val="18"/>
          <w:bdr w:val="none" w:sz="0" w:space="0" w:color="auto" w:frame="1"/>
        </w:rPr>
        <w:t>Share this content:</w:t>
      </w:r>
    </w:p>
    <w:p w:rsidR="00312C29" w:rsidRPr="00312C29" w:rsidRDefault="00312C29" w:rsidP="00312C29">
      <w:pPr>
        <w:numPr>
          <w:ilvl w:val="0"/>
          <w:numId w:val="1"/>
        </w:numPr>
        <w:spacing w:after="0" w:line="315" w:lineRule="atLeast"/>
        <w:ind w:left="150" w:right="75"/>
        <w:rPr>
          <w:rFonts w:ascii="Arial" w:eastAsia="Times New Roman" w:hAnsi="Arial" w:cs="Arial"/>
          <w:color w:val="000000"/>
          <w:sz w:val="23"/>
          <w:szCs w:val="23"/>
        </w:rPr>
      </w:pPr>
      <w:hyperlink r:id="rId5" w:tooltip="Facebook" w:history="1">
        <w:r w:rsidRPr="00312C29">
          <w:rPr>
            <w:rFonts w:ascii="Arial" w:eastAsia="Times New Roman" w:hAnsi="Arial" w:cs="Arial"/>
            <w:b/>
            <w:bCs/>
            <w:color w:val="630460"/>
            <w:sz w:val="23"/>
            <w:u w:val="single"/>
          </w:rPr>
          <w:t>facebook</w:t>
        </w:r>
      </w:hyperlink>
    </w:p>
    <w:p w:rsidR="00312C29" w:rsidRPr="00312C29" w:rsidRDefault="00312C29" w:rsidP="00312C29">
      <w:pPr>
        <w:numPr>
          <w:ilvl w:val="0"/>
          <w:numId w:val="1"/>
        </w:numPr>
        <w:spacing w:after="0" w:line="315" w:lineRule="atLeast"/>
        <w:ind w:left="150" w:right="75"/>
        <w:rPr>
          <w:rFonts w:ascii="Arial" w:eastAsia="Times New Roman" w:hAnsi="Arial" w:cs="Arial"/>
          <w:color w:val="000000"/>
          <w:sz w:val="23"/>
          <w:szCs w:val="23"/>
        </w:rPr>
      </w:pPr>
      <w:hyperlink r:id="rId6" w:tooltip="Twitter" w:history="1">
        <w:r w:rsidRPr="00312C29">
          <w:rPr>
            <w:rFonts w:ascii="Arial" w:eastAsia="Times New Roman" w:hAnsi="Arial" w:cs="Arial"/>
            <w:b/>
            <w:bCs/>
            <w:color w:val="630460"/>
            <w:sz w:val="23"/>
            <w:u w:val="single"/>
          </w:rPr>
          <w:t>twitter</w:t>
        </w:r>
      </w:hyperlink>
    </w:p>
    <w:p w:rsidR="00312C29" w:rsidRPr="00312C29" w:rsidRDefault="00312C29" w:rsidP="00312C29">
      <w:pPr>
        <w:numPr>
          <w:ilvl w:val="0"/>
          <w:numId w:val="1"/>
        </w:numPr>
        <w:spacing w:after="0" w:line="315" w:lineRule="atLeast"/>
        <w:ind w:left="150" w:right="75"/>
        <w:rPr>
          <w:rFonts w:ascii="Arial" w:eastAsia="Times New Roman" w:hAnsi="Arial" w:cs="Arial"/>
          <w:color w:val="000000"/>
          <w:sz w:val="23"/>
          <w:szCs w:val="23"/>
        </w:rPr>
      </w:pPr>
      <w:hyperlink r:id="rId7" w:tooltip="LinkedIn" w:history="1">
        <w:r w:rsidRPr="00312C29">
          <w:rPr>
            <w:rFonts w:ascii="Arial" w:eastAsia="Times New Roman" w:hAnsi="Arial" w:cs="Arial"/>
            <w:b/>
            <w:bCs/>
            <w:color w:val="630460"/>
            <w:sz w:val="23"/>
            <w:u w:val="single"/>
          </w:rPr>
          <w:t>linkedin</w:t>
        </w:r>
      </w:hyperlink>
    </w:p>
    <w:p w:rsidR="00312C29" w:rsidRPr="00312C29" w:rsidRDefault="00312C29" w:rsidP="00312C29">
      <w:pPr>
        <w:numPr>
          <w:ilvl w:val="0"/>
          <w:numId w:val="1"/>
        </w:numPr>
        <w:spacing w:after="0" w:line="315" w:lineRule="atLeast"/>
        <w:ind w:left="150" w:right="75"/>
        <w:rPr>
          <w:rFonts w:ascii="Arial" w:eastAsia="Times New Roman" w:hAnsi="Arial" w:cs="Arial"/>
          <w:color w:val="000000"/>
          <w:sz w:val="23"/>
          <w:szCs w:val="23"/>
        </w:rPr>
      </w:pPr>
      <w:hyperlink r:id="rId8" w:tooltip="Google Plus" w:history="1">
        <w:r w:rsidRPr="00312C29">
          <w:rPr>
            <w:rFonts w:ascii="Arial" w:eastAsia="Times New Roman" w:hAnsi="Arial" w:cs="Arial"/>
            <w:b/>
            <w:bCs/>
            <w:color w:val="630460"/>
            <w:sz w:val="23"/>
            <w:u w:val="single"/>
          </w:rPr>
          <w:t>google</w:t>
        </w:r>
      </w:hyperlink>
    </w:p>
    <w:p w:rsidR="00312C29" w:rsidRPr="00312C29" w:rsidRDefault="00312C29" w:rsidP="00312C29">
      <w:pPr>
        <w:numPr>
          <w:ilvl w:val="0"/>
          <w:numId w:val="1"/>
        </w:numPr>
        <w:spacing w:after="0" w:line="315" w:lineRule="atLeast"/>
        <w:ind w:left="150" w:right="75"/>
        <w:rPr>
          <w:rFonts w:ascii="Arial" w:eastAsia="Times New Roman" w:hAnsi="Arial" w:cs="Arial"/>
          <w:color w:val="000000"/>
          <w:sz w:val="23"/>
          <w:szCs w:val="23"/>
        </w:rPr>
      </w:pPr>
      <w:hyperlink r:id="rId9" w:tooltip="Email" w:history="1">
        <w:r w:rsidRPr="00312C29">
          <w:rPr>
            <w:rFonts w:ascii="Arial" w:eastAsia="Times New Roman" w:hAnsi="Arial" w:cs="Arial"/>
            <w:b/>
            <w:bCs/>
            <w:color w:val="630460"/>
            <w:sz w:val="23"/>
            <w:u w:val="single"/>
          </w:rPr>
          <w:t>Email</w:t>
        </w:r>
      </w:hyperlink>
    </w:p>
    <w:p w:rsidR="00312C29" w:rsidRPr="00312C29" w:rsidRDefault="00312C29" w:rsidP="00312C29">
      <w:pPr>
        <w:numPr>
          <w:ilvl w:val="0"/>
          <w:numId w:val="1"/>
        </w:numPr>
        <w:spacing w:line="315" w:lineRule="atLeast"/>
        <w:ind w:left="150" w:right="75"/>
        <w:rPr>
          <w:rFonts w:ascii="Arial" w:eastAsia="Times New Roman" w:hAnsi="Arial" w:cs="Arial"/>
          <w:color w:val="000000"/>
          <w:sz w:val="23"/>
          <w:szCs w:val="23"/>
        </w:rPr>
      </w:pPr>
      <w:hyperlink r:id="rId10" w:tooltip="Print" w:history="1">
        <w:r w:rsidRPr="00312C29">
          <w:rPr>
            <w:rFonts w:ascii="Arial" w:eastAsia="Times New Roman" w:hAnsi="Arial" w:cs="Arial"/>
            <w:b/>
            <w:bCs/>
            <w:color w:val="630460"/>
            <w:sz w:val="23"/>
            <w:u w:val="single"/>
          </w:rPr>
          <w:t>Print</w:t>
        </w:r>
      </w:hyperlink>
    </w:p>
    <w:p w:rsidR="00312C29" w:rsidRPr="00312C29" w:rsidRDefault="00312C29" w:rsidP="00312C29">
      <w:pPr>
        <w:shd w:val="clear" w:color="auto" w:fill="FFFFFF"/>
        <w:spacing w:after="75" w:line="240" w:lineRule="auto"/>
        <w:rPr>
          <w:rFonts w:ascii="Arial" w:eastAsia="Times New Roman" w:hAnsi="Arial" w:cs="Arial"/>
          <w:color w:val="000000"/>
          <w:sz w:val="24"/>
          <w:szCs w:val="24"/>
        </w:rPr>
      </w:pPr>
      <w:r w:rsidRPr="00312C29">
        <w:rPr>
          <w:rFonts w:ascii="Arial" w:eastAsia="Times New Roman" w:hAnsi="Arial" w:cs="Arial"/>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witching stable patients with a rheumatic disease from an originator biologic to a biosimilar could be associated with considerable short-term costs for healthcare centers." style="width:24pt;height:24pt"/>
        </w:pict>
      </w:r>
      <w:r w:rsidRPr="00312C29">
        <w:rPr>
          <w:rFonts w:ascii="Arial" w:eastAsia="Times New Roman" w:hAnsi="Arial" w:cs="Arial"/>
          <w:color w:val="CCCCCC"/>
          <w:sz w:val="18"/>
        </w:rPr>
        <w:t>Switching stable patients with a rheumatic disease from an originator biologic to a biosimilar could be associated with considerable short-term costs for healthcare centers.</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Data presented at the European League Against Rheumatism (EULAR) Congress 2018 held in Amsterdam, the Netherlands, from June 13 to 16, 2018, suggest that switching stable patients with a rheumatic disease from an originator biologic to a </w:t>
      </w:r>
      <w:hyperlink r:id="rId11" w:tgtFrame="_self" w:history="1">
        <w:r w:rsidRPr="00312C29">
          <w:rPr>
            <w:rFonts w:ascii="Arial" w:eastAsia="Times New Roman" w:hAnsi="Arial" w:cs="Arial"/>
            <w:b/>
            <w:bCs/>
            <w:color w:val="630460"/>
            <w:sz w:val="23"/>
            <w:u w:val="single"/>
          </w:rPr>
          <w:t>biosimilar </w:t>
        </w:r>
      </w:hyperlink>
      <w:r w:rsidRPr="00312C29">
        <w:rPr>
          <w:rFonts w:ascii="Arial" w:eastAsia="Times New Roman" w:hAnsi="Arial" w:cs="Arial"/>
          <w:color w:val="333333"/>
          <w:sz w:val="23"/>
          <w:szCs w:val="23"/>
        </w:rPr>
        <w:t>could be associated with considerable short-term costs for rheumatology centers.</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Researchers created an economic model that considered administrative and provider burden. Administrative burden included staff time for program set up, patient education, scheduling, documentation, and departmental meetings from program planning to implementation (&lt;1 year). Provider burden included the additional provider time needed and extra laboratory or imaging tests when managing nonmedical switching from the time of switching until 3 months after program implementation.</w:t>
      </w:r>
    </w:p>
    <w:p w:rsidR="00312C29" w:rsidRPr="00312C29" w:rsidRDefault="00312C29" w:rsidP="00312C29">
      <w:pPr>
        <w:spacing w:before="100" w:beforeAutospacing="1" w:after="100" w:afterAutospacing="1" w:line="240" w:lineRule="auto"/>
        <w:jc w:val="center"/>
        <w:rPr>
          <w:rFonts w:ascii="Arial" w:eastAsia="Times New Roman" w:hAnsi="Arial" w:cs="Arial"/>
          <w:color w:val="000000"/>
          <w:sz w:val="24"/>
          <w:szCs w:val="24"/>
        </w:rPr>
      </w:pPr>
      <w:r w:rsidRPr="00312C29">
        <w:rPr>
          <w:rFonts w:ascii="Arial" w:eastAsia="Times New Roman" w:hAnsi="Arial" w:cs="Arial"/>
          <w:color w:val="000000"/>
          <w:sz w:val="24"/>
          <w:szCs w:val="24"/>
        </w:rPr>
        <w:t>CONTINUE READING BELOW</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The investigators found that the estimated cost of setting up a nonmedical switching program and subsequent administrative support staff was £19,617 per center. The estimated cost was attributed to general overhead (40%), pharmacist time (26%), consultant time (21%), and nurse time (13%).</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After program setup, provider burden for initiating and managing nonmedical switching was estimated to be £113 per patient. The overall short-term cost associated with nonmedical switching was estimated to be £84,174 for an entire rheumatology center; 23% was attributed to the nonmedical switching program set-up and 77% was attributed to extra provider time and monitoring. On average, the cost per switched patient was £147.</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Allan Gibofsky, MD, JD, MACR, FACP, FCLM, professor of medicine at Weill Medical College of Cornell University, New York, New York, attending rheumatologist at Hospital for Special Surgery, and advisory board member for </w:t>
      </w:r>
      <w:r w:rsidRPr="00312C29">
        <w:rPr>
          <w:rFonts w:ascii="Arial" w:eastAsia="Times New Roman" w:hAnsi="Arial" w:cs="Arial"/>
          <w:i/>
          <w:iCs/>
          <w:color w:val="333333"/>
          <w:sz w:val="23"/>
          <w:szCs w:val="23"/>
          <w:bdr w:val="none" w:sz="0" w:space="0" w:color="auto" w:frame="1"/>
        </w:rPr>
        <w:t>Rheumatology Advisor</w:t>
      </w:r>
      <w:r w:rsidRPr="00312C29">
        <w:rPr>
          <w:rFonts w:ascii="Arial" w:eastAsia="Times New Roman" w:hAnsi="Arial" w:cs="Arial"/>
          <w:color w:val="333333"/>
          <w:sz w:val="23"/>
          <w:szCs w:val="23"/>
        </w:rPr>
        <w:t>, discussed the effects of nonmedical switching.</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i/>
          <w:iCs/>
          <w:color w:val="333333"/>
          <w:sz w:val="23"/>
          <w:szCs w:val="23"/>
          <w:bdr w:val="none" w:sz="0" w:space="0" w:color="auto" w:frame="1"/>
        </w:rPr>
        <w:lastRenderedPageBreak/>
        <w:t>Rheumatology Advisor:</w:t>
      </w:r>
      <w:r w:rsidRPr="00312C29">
        <w:rPr>
          <w:rFonts w:ascii="Arial" w:eastAsia="Times New Roman" w:hAnsi="Arial" w:cs="Arial"/>
          <w:color w:val="333333"/>
          <w:sz w:val="23"/>
          <w:szCs w:val="23"/>
        </w:rPr>
        <w:t> Would the long-term costs of nonmedical switching be affected if a patient becomes stable on the biosimilar?</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color w:val="333333"/>
          <w:sz w:val="23"/>
          <w:szCs w:val="23"/>
          <w:bdr w:val="none" w:sz="0" w:space="0" w:color="auto" w:frame="1"/>
        </w:rPr>
        <w:t>Dr Gibofsky:</w:t>
      </w:r>
      <w:r w:rsidRPr="00312C29">
        <w:rPr>
          <w:rFonts w:ascii="Arial" w:eastAsia="Times New Roman" w:hAnsi="Arial" w:cs="Arial"/>
          <w:color w:val="333333"/>
          <w:sz w:val="23"/>
          <w:szCs w:val="23"/>
        </w:rPr>
        <w:t> If a patient is stable on a biosimilar, then their monitoring regimen is the same as that of a bio-originator. If a patient becomes stable, then it is as if they are on the bio-originator, and there ought to be no incremental costs.</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It seems clear to most that the prior authorization procedures put in place by managed care payors are no different than the prior authorization procedures for bio-originators. And that is a major problem in the adoption of biosimilars. Where biosimilars have been adopted, it's largely been by requirement, rather than as a welcome addition of a therapeutic option.</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i/>
          <w:iCs/>
          <w:color w:val="333333"/>
          <w:sz w:val="23"/>
          <w:szCs w:val="23"/>
          <w:bdr w:val="none" w:sz="0" w:space="0" w:color="auto" w:frame="1"/>
        </w:rPr>
        <w:t>Rheumatology Advisor:</w:t>
      </w:r>
      <w:r w:rsidRPr="00312C29">
        <w:rPr>
          <w:rFonts w:ascii="Arial" w:eastAsia="Times New Roman" w:hAnsi="Arial" w:cs="Arial"/>
          <w:color w:val="333333"/>
          <w:sz w:val="23"/>
          <w:szCs w:val="23"/>
        </w:rPr>
        <w:t> Have you personally been able to expand your patients' access?</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color w:val="333333"/>
          <w:sz w:val="23"/>
          <w:szCs w:val="23"/>
          <w:bdr w:val="none" w:sz="0" w:space="0" w:color="auto" w:frame="1"/>
        </w:rPr>
        <w:t>Dr Gibofsky:</w:t>
      </w:r>
      <w:r w:rsidRPr="00312C29">
        <w:rPr>
          <w:rFonts w:ascii="Arial" w:eastAsia="Times New Roman" w:hAnsi="Arial" w:cs="Arial"/>
          <w:b/>
          <w:bCs/>
          <w:i/>
          <w:iCs/>
          <w:color w:val="333333"/>
          <w:sz w:val="23"/>
          <w:szCs w:val="23"/>
          <w:bdr w:val="none" w:sz="0" w:space="0" w:color="auto" w:frame="1"/>
        </w:rPr>
        <w:t> </w:t>
      </w:r>
      <w:r w:rsidRPr="00312C29">
        <w:rPr>
          <w:rFonts w:ascii="Arial" w:eastAsia="Times New Roman" w:hAnsi="Arial" w:cs="Arial"/>
          <w:color w:val="333333"/>
          <w:sz w:val="23"/>
          <w:szCs w:val="23"/>
        </w:rPr>
        <w:t>As already indicated, I have to go through the same preauthorization requirements, Thus, the only reason for a switch is to save money, and it's not clear that when the switch occurs it is the patient that saves. In fact, in some instances, it may cost them money, especially if the copayment assistance program of the biosimilar isn't as generous as that of the bio-originator. I have yet to see a demonstrable and significant impact on the individual patient and on overall patient access.</w:t>
      </w:r>
    </w:p>
    <w:p w:rsidR="00312C29" w:rsidRPr="00312C29" w:rsidRDefault="00312C29" w:rsidP="00312C29">
      <w:pPr>
        <w:shd w:val="clear" w:color="auto" w:fill="F0F0F2"/>
        <w:spacing w:after="0" w:line="240" w:lineRule="auto"/>
        <w:textAlignment w:val="top"/>
        <w:rPr>
          <w:rFonts w:ascii="Arial" w:eastAsia="Times New Roman" w:hAnsi="Arial" w:cs="Arial"/>
          <w:color w:val="000000"/>
          <w:sz w:val="24"/>
          <w:szCs w:val="24"/>
        </w:rPr>
      </w:pPr>
      <w:r w:rsidRPr="00312C29">
        <w:rPr>
          <w:rFonts w:ascii="Arial" w:eastAsia="Times New Roman" w:hAnsi="Arial" w:cs="Arial"/>
          <w:caps/>
          <w:color w:val="333333"/>
          <w:sz w:val="26"/>
        </w:rPr>
        <w:t>RELATED ARTICLES</w:t>
      </w:r>
    </w:p>
    <w:p w:rsidR="00312C29" w:rsidRPr="00312C29" w:rsidRDefault="00312C29" w:rsidP="00312C29">
      <w:pPr>
        <w:numPr>
          <w:ilvl w:val="0"/>
          <w:numId w:val="2"/>
        </w:numPr>
        <w:spacing w:after="0" w:line="315" w:lineRule="atLeast"/>
        <w:ind w:left="150"/>
        <w:textAlignment w:val="top"/>
        <w:rPr>
          <w:rFonts w:ascii="Arial" w:eastAsia="Times New Roman" w:hAnsi="Arial" w:cs="Arial"/>
          <w:color w:val="000000"/>
          <w:sz w:val="23"/>
          <w:szCs w:val="23"/>
        </w:rPr>
      </w:pPr>
      <w:hyperlink r:id="rId12" w:tgtFrame="_self" w:tooltip="" w:history="1">
        <w:r w:rsidRPr="00312C29">
          <w:rPr>
            <w:rFonts w:ascii="Georgia" w:eastAsia="Times New Roman" w:hAnsi="Georgia" w:cs="Arial"/>
            <w:color w:val="630460"/>
            <w:sz w:val="23"/>
            <w:u w:val="single"/>
          </w:rPr>
          <w:t>ACR Encourages Biosimilar Use for Treatment of Rheumatic Diseases</w:t>
        </w:r>
      </w:hyperlink>
    </w:p>
    <w:p w:rsidR="00312C29" w:rsidRPr="00312C29" w:rsidRDefault="00312C29" w:rsidP="00312C29">
      <w:pPr>
        <w:numPr>
          <w:ilvl w:val="0"/>
          <w:numId w:val="2"/>
        </w:numPr>
        <w:spacing w:after="0" w:line="315" w:lineRule="atLeast"/>
        <w:ind w:left="150"/>
        <w:textAlignment w:val="top"/>
        <w:rPr>
          <w:rFonts w:ascii="Arial" w:eastAsia="Times New Roman" w:hAnsi="Arial" w:cs="Arial"/>
          <w:color w:val="000000"/>
          <w:sz w:val="23"/>
          <w:szCs w:val="23"/>
        </w:rPr>
      </w:pPr>
      <w:hyperlink r:id="rId13" w:tgtFrame="_self" w:tooltip="" w:history="1">
        <w:r w:rsidRPr="00312C29">
          <w:rPr>
            <w:rFonts w:ascii="Georgia" w:eastAsia="Times New Roman" w:hAnsi="Georgia" w:cs="Arial"/>
            <w:color w:val="630460"/>
            <w:sz w:val="23"/>
            <w:u w:val="single"/>
          </w:rPr>
          <w:t>FDA Withdraws Draft Guidance in an Effort to Improve Efficiency of Biosimilar Development</w:t>
        </w:r>
      </w:hyperlink>
    </w:p>
    <w:p w:rsidR="00312C29" w:rsidRPr="00312C29" w:rsidRDefault="00312C29" w:rsidP="00312C29">
      <w:pPr>
        <w:numPr>
          <w:ilvl w:val="0"/>
          <w:numId w:val="2"/>
        </w:numPr>
        <w:spacing w:line="315" w:lineRule="atLeast"/>
        <w:ind w:left="150"/>
        <w:textAlignment w:val="top"/>
        <w:rPr>
          <w:rFonts w:ascii="Arial" w:eastAsia="Times New Roman" w:hAnsi="Arial" w:cs="Arial"/>
          <w:color w:val="000000"/>
          <w:sz w:val="23"/>
          <w:szCs w:val="23"/>
        </w:rPr>
      </w:pPr>
      <w:hyperlink r:id="rId14" w:tgtFrame="_self" w:tooltip="" w:history="1">
        <w:r w:rsidRPr="00312C29">
          <w:rPr>
            <w:rFonts w:ascii="Georgia" w:eastAsia="Times New Roman" w:hAnsi="Georgia" w:cs="Arial"/>
            <w:color w:val="630460"/>
            <w:sz w:val="23"/>
            <w:u w:val="single"/>
          </w:rPr>
          <w:t>Etanercept Biosimilar Demonstrates Equivalent Efficacy and Comparable Safety</w:t>
        </w:r>
      </w:hyperlink>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i/>
          <w:iCs/>
          <w:color w:val="333333"/>
          <w:sz w:val="23"/>
          <w:szCs w:val="23"/>
          <w:bdr w:val="none" w:sz="0" w:space="0" w:color="auto" w:frame="1"/>
        </w:rPr>
        <w:t>Rheumatology Advisor:</w:t>
      </w:r>
      <w:r w:rsidRPr="00312C29">
        <w:rPr>
          <w:rFonts w:ascii="Arial" w:eastAsia="Times New Roman" w:hAnsi="Arial" w:cs="Arial"/>
          <w:color w:val="333333"/>
          <w:sz w:val="23"/>
          <w:szCs w:val="23"/>
        </w:rPr>
        <w:t> If a patient switches to a biosimilar, could this reduce the efficacy of the bio-originator if a patient switches back to their original treatment?</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color w:val="333333"/>
          <w:sz w:val="23"/>
          <w:szCs w:val="23"/>
          <w:bdr w:val="none" w:sz="0" w:space="0" w:color="auto" w:frame="1"/>
        </w:rPr>
        <w:t>Dr Gibofsky:</w:t>
      </w:r>
      <w:r w:rsidRPr="00312C29">
        <w:rPr>
          <w:rFonts w:ascii="Arial" w:eastAsia="Times New Roman" w:hAnsi="Arial" w:cs="Arial"/>
          <w:b/>
          <w:bCs/>
          <w:i/>
          <w:iCs/>
          <w:color w:val="333333"/>
          <w:sz w:val="23"/>
          <w:szCs w:val="23"/>
          <w:bdr w:val="none" w:sz="0" w:space="0" w:color="auto" w:frame="1"/>
        </w:rPr>
        <w:t> </w:t>
      </w:r>
      <w:r w:rsidRPr="00312C29">
        <w:rPr>
          <w:rFonts w:ascii="Arial" w:eastAsia="Times New Roman" w:hAnsi="Arial" w:cs="Arial"/>
          <w:color w:val="333333"/>
          <w:sz w:val="23"/>
          <w:szCs w:val="23"/>
        </w:rPr>
        <w:t>There are some data to suggest that if a patient doesn't respond to the biosimilar, they can be switched back to the bio-originator and they will recapture their stable state. But this does not happen to all patients. And we can't predict who will and who won't.</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There should not be that much disruption when you switch a stable patient. Patients ought to be stable for at least 6 months before you do anything. If they flare, you can switch them back. In most cases, they will recapture their stable state, but some won't.</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i/>
          <w:iCs/>
          <w:color w:val="333333"/>
          <w:sz w:val="23"/>
          <w:szCs w:val="23"/>
          <w:bdr w:val="none" w:sz="0" w:space="0" w:color="auto" w:frame="1"/>
        </w:rPr>
        <w:t>Rheumatology Advisor:</w:t>
      </w:r>
      <w:r w:rsidRPr="00312C29">
        <w:rPr>
          <w:rFonts w:ascii="Arial" w:eastAsia="Times New Roman" w:hAnsi="Arial" w:cs="Arial"/>
          <w:color w:val="333333"/>
          <w:sz w:val="23"/>
          <w:szCs w:val="23"/>
        </w:rPr>
        <w:t> Could nonmedical switching to a biosimilar increase the chances of subsequent switches?</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b/>
          <w:bCs/>
          <w:color w:val="333333"/>
          <w:sz w:val="23"/>
          <w:szCs w:val="23"/>
          <w:bdr w:val="none" w:sz="0" w:space="0" w:color="auto" w:frame="1"/>
        </w:rPr>
        <w:t>Dr Gibofsky:</w:t>
      </w:r>
      <w:r w:rsidRPr="00312C29">
        <w:rPr>
          <w:rFonts w:ascii="Arial" w:eastAsia="Times New Roman" w:hAnsi="Arial" w:cs="Arial"/>
          <w:b/>
          <w:bCs/>
          <w:i/>
          <w:iCs/>
          <w:color w:val="333333"/>
          <w:sz w:val="23"/>
          <w:szCs w:val="23"/>
          <w:bdr w:val="none" w:sz="0" w:space="0" w:color="auto" w:frame="1"/>
        </w:rPr>
        <w:t> </w:t>
      </w:r>
      <w:r w:rsidRPr="00312C29">
        <w:rPr>
          <w:rFonts w:ascii="Arial" w:eastAsia="Times New Roman" w:hAnsi="Arial" w:cs="Arial"/>
          <w:color w:val="333333"/>
          <w:sz w:val="23"/>
          <w:szCs w:val="23"/>
        </w:rPr>
        <w:t>There is this notion that biosimilars are additional therapeutic options. Well, yes and no. If a patient doesn't respond to the bio-originator, I'm not going to switch them to a biosimilar because there are no data to suggest that they'll do better on the biosimilar.</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What's clearly going to happen in this marketplace is that the purchasing decisions will be made solely on cost. It is not unreasonable to anticipate that there will be multiple nonmedical switches among biosimilars, just as we are now seeing multiple switches between bio-originators and biosimilars</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lastRenderedPageBreak/>
        <w:t>In the future, I may prescribe a biosimilar, only to be told that I have to use a bio-originator because of a purchasing decision. So how long before the promise of cost savings from biosimilars is eroded by the competition driving deeper discounts for the bio-originator?</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What may also happen is that the manufacturers of currently marketed bio-originators who have already made significant profit over the years can discount the cost of their product so low that the biosimilars can't compete. At that point, the   incentive to market a bioisimilar is significantly reduced.   </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i/>
          <w:iCs/>
          <w:color w:val="333333"/>
          <w:sz w:val="23"/>
          <w:szCs w:val="23"/>
          <w:bdr w:val="none" w:sz="0" w:space="0" w:color="auto" w:frame="1"/>
        </w:rPr>
        <w:t>Disclosures: A. Gibofsky is a shareholder of AbbVie, Amgen, BMS, GSK, Horizon, J&amp;J and Pfizer, and is a consultant and/or speaker for AbbVie, Celgene, Eli Lilly and Company, Horizon, Merck, Novartis, Pfizer, Relburn and Sandoz; V. Garg is a shareholder and employee of AbbVie; M. Yang is an employee of Analysis Group, Inc., which has received consultancy fees from AbbVie; C. Qi is an employee of Analysis Group, Inc., which has received consultancy fees from AbbVie; M. Skup is a shareholder and employee of AbbVie.</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hyperlink r:id="rId15" w:tgtFrame="_blank" w:history="1">
        <w:r w:rsidRPr="00312C29">
          <w:rPr>
            <w:rFonts w:ascii="Arial" w:eastAsia="Times New Roman" w:hAnsi="Arial" w:cs="Arial"/>
            <w:b/>
            <w:bCs/>
            <w:color w:val="630460"/>
            <w:sz w:val="23"/>
            <w:szCs w:val="23"/>
            <w:bdr w:val="none" w:sz="0" w:space="0" w:color="auto" w:frame="1"/>
          </w:rPr>
          <w:pict>
            <v:shape id="_x0000_i1026" type="#_x0000_t75" alt="" href="https://twitter.com/rheumadvisor" target="&quot;_blank&quot;" style="width:24pt;height:24pt" o:button="t"/>
          </w:pict>
        </w:r>
        <w:r w:rsidRPr="00312C29">
          <w:rPr>
            <w:rFonts w:ascii="Arial" w:eastAsia="Times New Roman" w:hAnsi="Arial" w:cs="Arial"/>
            <w:b/>
            <w:bCs/>
            <w:color w:val="000000"/>
            <w:sz w:val="23"/>
            <w:u w:val="single"/>
          </w:rPr>
          <w:t> follow @RheumAdvisor</w:t>
        </w:r>
      </w:hyperlink>
    </w:p>
    <w:p w:rsidR="00312C29" w:rsidRPr="00312C29" w:rsidRDefault="00312C29" w:rsidP="00312C29">
      <w:pPr>
        <w:spacing w:after="75" w:line="360" w:lineRule="atLeast"/>
        <w:outlineLvl w:val="1"/>
        <w:rPr>
          <w:rFonts w:ascii="Georgia" w:eastAsia="Times New Roman" w:hAnsi="Georgia" w:cs="Arial"/>
          <w:b/>
          <w:bCs/>
          <w:color w:val="333333"/>
          <w:sz w:val="27"/>
          <w:szCs w:val="27"/>
          <w:bdr w:val="none" w:sz="0" w:space="0" w:color="auto" w:frame="1"/>
          <w:shd w:val="clear" w:color="auto" w:fill="FFFFFF"/>
        </w:rPr>
      </w:pPr>
      <w:r w:rsidRPr="00312C29">
        <w:rPr>
          <w:rFonts w:ascii="Georgia" w:eastAsia="Times New Roman" w:hAnsi="Georgia" w:cs="Arial"/>
          <w:b/>
          <w:bCs/>
          <w:color w:val="333333"/>
          <w:sz w:val="27"/>
          <w:szCs w:val="27"/>
          <w:bdr w:val="none" w:sz="0" w:space="0" w:color="auto" w:frame="1"/>
          <w:shd w:val="clear" w:color="auto" w:fill="FFFFFF"/>
        </w:rPr>
        <w:t>Reference</w:t>
      </w:r>
    </w:p>
    <w:p w:rsidR="00312C29" w:rsidRPr="00312C29" w:rsidRDefault="00312C29" w:rsidP="00312C29">
      <w:pPr>
        <w:shd w:val="clear" w:color="auto" w:fill="FFFFFF"/>
        <w:spacing w:after="0" w:line="315" w:lineRule="atLeast"/>
        <w:rPr>
          <w:rFonts w:ascii="Arial" w:eastAsia="Times New Roman" w:hAnsi="Arial" w:cs="Arial"/>
          <w:color w:val="333333"/>
          <w:sz w:val="23"/>
          <w:szCs w:val="23"/>
        </w:rPr>
      </w:pPr>
      <w:r w:rsidRPr="00312C29">
        <w:rPr>
          <w:rFonts w:ascii="Arial" w:eastAsia="Times New Roman" w:hAnsi="Arial" w:cs="Arial"/>
          <w:color w:val="333333"/>
          <w:sz w:val="23"/>
          <w:szCs w:val="23"/>
        </w:rPr>
        <w:t>Gibofsky A, Garg V, Yang M, Qi CZ, Skup M. Estimating the short-term costs associated with non-medical switching in rheumatic diseases. Presented at: European League Against Rheumatism (EULAR) Congress 2018; June 13-16, 2018; Amsterdam, The Netherlands. Abstract OP0018.</w:t>
      </w:r>
    </w:p>
    <w:p w:rsidR="00AE0F99" w:rsidRDefault="00AE0F99"/>
    <w:sectPr w:rsidR="00AE0F99" w:rsidSect="00AE0F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C4E45"/>
    <w:multiLevelType w:val="multilevel"/>
    <w:tmpl w:val="1E56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1B276E"/>
    <w:multiLevelType w:val="multilevel"/>
    <w:tmpl w:val="DC02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2C29"/>
    <w:rsid w:val="00312C29"/>
    <w:rsid w:val="00AE0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F99"/>
  </w:style>
  <w:style w:type="paragraph" w:styleId="Heading1">
    <w:name w:val="heading 1"/>
    <w:basedOn w:val="Normal"/>
    <w:link w:val="Heading1Char"/>
    <w:uiPriority w:val="9"/>
    <w:qFormat/>
    <w:rsid w:val="00312C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2C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2C2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12C29"/>
    <w:rPr>
      <w:color w:val="0000FF"/>
      <w:u w:val="single"/>
    </w:rPr>
  </w:style>
  <w:style w:type="character" w:customStyle="1" w:styleId="articleimagecaption">
    <w:name w:val="articleimagecaption"/>
    <w:basedOn w:val="DefaultParagraphFont"/>
    <w:rsid w:val="00312C29"/>
  </w:style>
  <w:style w:type="paragraph" w:styleId="NormalWeb">
    <w:name w:val="Normal (Web)"/>
    <w:basedOn w:val="Normal"/>
    <w:uiPriority w:val="99"/>
    <w:semiHidden/>
    <w:unhideWhenUsed/>
    <w:rsid w:val="00312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articlestitle">
    <w:name w:val="relatedarticlestitle"/>
    <w:basedOn w:val="DefaultParagraphFont"/>
    <w:rsid w:val="00312C29"/>
  </w:style>
</w:styles>
</file>

<file path=word/webSettings.xml><?xml version="1.0" encoding="utf-8"?>
<w:webSettings xmlns:r="http://schemas.openxmlformats.org/officeDocument/2006/relationships" xmlns:w="http://schemas.openxmlformats.org/wordprocessingml/2006/main">
  <w:divs>
    <w:div w:id="911082783">
      <w:bodyDiv w:val="1"/>
      <w:marLeft w:val="0"/>
      <w:marRight w:val="0"/>
      <w:marTop w:val="0"/>
      <w:marBottom w:val="0"/>
      <w:divBdr>
        <w:top w:val="none" w:sz="0" w:space="0" w:color="auto"/>
        <w:left w:val="none" w:sz="0" w:space="0" w:color="auto"/>
        <w:bottom w:val="none" w:sz="0" w:space="0" w:color="auto"/>
        <w:right w:val="none" w:sz="0" w:space="0" w:color="auto"/>
      </w:divBdr>
      <w:divsChild>
        <w:div w:id="1546721778">
          <w:marLeft w:val="0"/>
          <w:marRight w:val="0"/>
          <w:marTop w:val="0"/>
          <w:marBottom w:val="375"/>
          <w:divBdr>
            <w:top w:val="single" w:sz="6" w:space="5" w:color="DBDBDB"/>
            <w:left w:val="none" w:sz="0" w:space="0" w:color="auto"/>
            <w:bottom w:val="single" w:sz="6" w:space="5" w:color="DBDBDB"/>
            <w:right w:val="none" w:sz="0" w:space="0" w:color="auto"/>
          </w:divBdr>
        </w:div>
        <w:div w:id="2011397918">
          <w:marLeft w:val="150"/>
          <w:marRight w:val="150"/>
          <w:marTop w:val="0"/>
          <w:marBottom w:val="75"/>
          <w:divBdr>
            <w:top w:val="none" w:sz="0" w:space="0" w:color="auto"/>
            <w:left w:val="none" w:sz="0" w:space="0" w:color="auto"/>
            <w:bottom w:val="none" w:sz="0" w:space="0" w:color="auto"/>
            <w:right w:val="none" w:sz="0" w:space="0" w:color="auto"/>
          </w:divBdr>
        </w:div>
        <w:div w:id="1387295338">
          <w:marLeft w:val="0"/>
          <w:marRight w:val="0"/>
          <w:marTop w:val="225"/>
          <w:marBottom w:val="225"/>
          <w:divBdr>
            <w:top w:val="none" w:sz="0" w:space="0" w:color="auto"/>
            <w:left w:val="none" w:sz="0" w:space="0" w:color="auto"/>
            <w:bottom w:val="none" w:sz="0" w:space="0" w:color="auto"/>
            <w:right w:val="none" w:sz="0" w:space="0" w:color="auto"/>
          </w:divBdr>
        </w:div>
        <w:div w:id="1076822554">
          <w:marLeft w:val="150"/>
          <w:marRight w:val="15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share" TargetMode="External"/><Relationship Id="rId13" Type="http://schemas.openxmlformats.org/officeDocument/2006/relationships/hyperlink" Target="https://www.rheumatologyadvisor.com/biosimilar-drugs/draft-guidance-withdrawn-to-improve-efficiency-of-biosimilar-development/article/775306/" TargetMode="External"/><Relationship Id="rId3" Type="http://schemas.openxmlformats.org/officeDocument/2006/relationships/settings" Target="settings.xml"/><Relationship Id="rId7" Type="http://schemas.openxmlformats.org/officeDocument/2006/relationships/hyperlink" Target="https://www.rheumatologyadvisor.com/biosimilar-drugs/nonmedical-switching-to-biosimilars-in-rheumatic-disease/article/775786/" TargetMode="External"/><Relationship Id="rId12" Type="http://schemas.openxmlformats.org/officeDocument/2006/relationships/hyperlink" Target="https://www.rheumatologyadvisor.com/practice-management/american-college-of-rheumatology-encourages-use-of-biosimilar-treatment/article/7429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witter.com/share" TargetMode="External"/><Relationship Id="rId11" Type="http://schemas.openxmlformats.org/officeDocument/2006/relationships/hyperlink" Target="https://www.rheumatologyadvisor.com/rheumatoid-arthritis/transitioning-to-biosimilar-etanercept-sb4-decreases-disease-activity-in-rheumatic-disease/article/758210/" TargetMode="External"/><Relationship Id="rId5" Type="http://schemas.openxmlformats.org/officeDocument/2006/relationships/hyperlink" Target="https://www.facebook.com/sharer/sharer.php" TargetMode="External"/><Relationship Id="rId15" Type="http://schemas.openxmlformats.org/officeDocument/2006/relationships/hyperlink" Target="https://twitter.com/rheumadvisor" TargetMode="External"/><Relationship Id="rId10" Type="http://schemas.openxmlformats.org/officeDocument/2006/relationships/hyperlink" Target="https://www.rheumatologyadvisor.com/nonmedical-switching-in-rheumatic-disease-an-interview-with-allan-gibofsky-md/printarticle/775786/"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www.rheumatologyadvisor.com/rheumatoid-arthritis-advisor/safety-of-etanercept-biosimilar-examined/article/74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Avicenna</dc:creator>
  <cp:lastModifiedBy>Avicenna</cp:lastModifiedBy>
  <cp:revision>2</cp:revision>
  <dcterms:created xsi:type="dcterms:W3CDTF">2019-02-20T05:48:00Z</dcterms:created>
  <dcterms:modified xsi:type="dcterms:W3CDTF">2019-02-20T05:49:00Z</dcterms:modified>
</cp:coreProperties>
</file>