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D8" w:rsidRPr="00203FD8" w:rsidRDefault="00203FD8" w:rsidP="00203FD8">
      <w:pPr>
        <w:spacing w:before="100" w:beforeAutospacing="1" w:after="100" w:afterAutospacing="1" w:line="240" w:lineRule="auto"/>
        <w:outlineLvl w:val="0"/>
        <w:rPr>
          <w:rFonts w:ascii="Georgia" w:eastAsia="Times New Roman" w:hAnsi="Georgia" w:cs="Times New Roman"/>
          <w:b/>
          <w:bCs/>
          <w:color w:val="9B2D06"/>
          <w:kern w:val="36"/>
          <w:sz w:val="48"/>
          <w:szCs w:val="48"/>
        </w:rPr>
      </w:pPr>
      <w:r>
        <w:rPr>
          <w:rFonts w:ascii="Georgia" w:eastAsia="Times New Roman" w:hAnsi="Georgia" w:cs="Times New Roman"/>
          <w:b/>
          <w:bCs/>
          <w:noProof/>
          <w:color w:val="9B2D06"/>
          <w:kern w:val="36"/>
          <w:sz w:val="48"/>
          <w:szCs w:val="48"/>
        </w:rPr>
        <w:drawing>
          <wp:anchor distT="0" distB="0" distL="114300" distR="114300" simplePos="0" relativeHeight="251658240" behindDoc="0" locked="0" layoutInCell="1" allowOverlap="1">
            <wp:simplePos x="0" y="0"/>
            <wp:positionH relativeFrom="column">
              <wp:posOffset>-895350</wp:posOffset>
            </wp:positionH>
            <wp:positionV relativeFrom="paragraph">
              <wp:posOffset>1362075</wp:posOffset>
            </wp:positionV>
            <wp:extent cx="8191500" cy="5457825"/>
            <wp:effectExtent l="19050" t="0" r="0" b="0"/>
            <wp:wrapSquare wrapText="bothSides"/>
            <wp:docPr id="1" name="Picture 1" descr="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I"/>
                    <pic:cNvPicPr>
                      <a:picLocks noChangeAspect="1" noChangeArrowheads="1"/>
                    </pic:cNvPicPr>
                  </pic:nvPicPr>
                  <pic:blipFill>
                    <a:blip r:embed="rId5"/>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203FD8">
        <w:rPr>
          <w:rFonts w:ascii="Georgia" w:eastAsia="Times New Roman" w:hAnsi="Georgia" w:cs="Times New Roman"/>
          <w:b/>
          <w:bCs/>
          <w:color w:val="9B2D06"/>
          <w:kern w:val="36"/>
          <w:sz w:val="48"/>
          <w:szCs w:val="48"/>
        </w:rPr>
        <w:br/>
        <w:t>BMI Change During Male Puberty Associated With Risk for Type 2 Diabetes</w:t>
      </w:r>
    </w:p>
    <w:p w:rsidR="00203FD8" w:rsidRPr="00203FD8" w:rsidRDefault="00203FD8" w:rsidP="00203FD8">
      <w:pPr>
        <w:spacing w:after="0" w:line="240" w:lineRule="auto"/>
        <w:rPr>
          <w:rFonts w:ascii="Times New Roman" w:eastAsia="Times New Roman" w:hAnsi="Times New Roman" w:cs="Times New Roman"/>
          <w:sz w:val="24"/>
          <w:szCs w:val="24"/>
        </w:rPr>
      </w:pPr>
      <w:r w:rsidRPr="00203FD8">
        <w:rPr>
          <w:rFonts w:ascii="Times New Roman" w:eastAsia="Times New Roman" w:hAnsi="Times New Roman" w:cs="Times New Roman"/>
          <w:sz w:val="24"/>
          <w:szCs w:val="24"/>
        </w:rPr>
        <w:t>Normalizing BMI during puberty may reduce risk for type 2 diabetes in men.</w:t>
      </w:r>
    </w:p>
    <w:p w:rsidR="00203FD8" w:rsidRPr="00203FD8" w:rsidRDefault="00203FD8" w:rsidP="00203FD8">
      <w:pPr>
        <w:shd w:val="clear" w:color="auto" w:fill="FFFFFF"/>
        <w:spacing w:after="240" w:line="240" w:lineRule="auto"/>
        <w:rPr>
          <w:rFonts w:ascii="Arial" w:eastAsia="Times New Roman" w:hAnsi="Arial" w:cs="Arial"/>
          <w:color w:val="333333"/>
          <w:sz w:val="27"/>
          <w:szCs w:val="27"/>
        </w:rPr>
      </w:pPr>
      <w:r w:rsidRPr="00203FD8">
        <w:rPr>
          <w:rFonts w:ascii="Arial" w:eastAsia="Times New Roman" w:hAnsi="Arial" w:cs="Arial"/>
          <w:color w:val="333333"/>
          <w:sz w:val="27"/>
          <w:szCs w:val="27"/>
        </w:rPr>
        <w:t>According to study results published in </w:t>
      </w:r>
      <w:r w:rsidRPr="00203FD8">
        <w:rPr>
          <w:rFonts w:ascii="Arial" w:eastAsia="Times New Roman" w:hAnsi="Arial" w:cs="Arial"/>
          <w:i/>
          <w:iCs/>
          <w:color w:val="333333"/>
          <w:sz w:val="27"/>
          <w:szCs w:val="27"/>
        </w:rPr>
        <w:t>The</w:t>
      </w:r>
      <w:r w:rsidRPr="00203FD8">
        <w:rPr>
          <w:rFonts w:ascii="Arial" w:eastAsia="Times New Roman" w:hAnsi="Arial" w:cs="Arial"/>
          <w:color w:val="333333"/>
          <w:sz w:val="27"/>
          <w:szCs w:val="27"/>
        </w:rPr>
        <w:t> </w:t>
      </w:r>
      <w:r w:rsidRPr="00203FD8">
        <w:rPr>
          <w:rFonts w:ascii="Arial" w:eastAsia="Times New Roman" w:hAnsi="Arial" w:cs="Arial"/>
          <w:i/>
          <w:iCs/>
          <w:color w:val="333333"/>
          <w:sz w:val="27"/>
          <w:szCs w:val="27"/>
        </w:rPr>
        <w:t>Journal of Clinical Endocrinology &amp; Metabolism</w:t>
      </w:r>
      <w:r w:rsidRPr="00203FD8">
        <w:rPr>
          <w:rFonts w:ascii="Arial" w:eastAsia="Times New Roman" w:hAnsi="Arial" w:cs="Arial"/>
          <w:color w:val="333333"/>
          <w:sz w:val="27"/>
          <w:szCs w:val="27"/>
        </w:rPr>
        <w:t>, </w:t>
      </w:r>
      <w:hyperlink r:id="rId6" w:tgtFrame="_self" w:history="1">
        <w:r w:rsidRPr="00203FD8">
          <w:rPr>
            <w:rFonts w:ascii="Arial" w:eastAsia="Times New Roman" w:hAnsi="Arial" w:cs="Arial"/>
            <w:color w:val="666666"/>
            <w:sz w:val="27"/>
            <w:u w:val="single"/>
          </w:rPr>
          <w:t>increased body mass index</w:t>
        </w:r>
      </w:hyperlink>
      <w:r w:rsidRPr="00203FD8">
        <w:rPr>
          <w:rFonts w:ascii="Arial" w:eastAsia="Times New Roman" w:hAnsi="Arial" w:cs="Arial"/>
          <w:color w:val="333333"/>
          <w:sz w:val="27"/>
          <w:szCs w:val="27"/>
        </w:rPr>
        <w:t xml:space="preserve"> (BMI) during puberty might worsen the risk for adult type 2 diabetes (T2D) in men.To determine how changes in </w:t>
      </w:r>
      <w:r w:rsidRPr="00203FD8">
        <w:rPr>
          <w:rFonts w:ascii="Arial" w:eastAsia="Times New Roman" w:hAnsi="Arial" w:cs="Arial"/>
          <w:color w:val="333333"/>
          <w:sz w:val="27"/>
          <w:szCs w:val="27"/>
        </w:rPr>
        <w:lastRenderedPageBreak/>
        <w:t>BMI during male puberty affect the risk of developing T2D, researchers assessed the outcomes of 36,176 men registered with the BMI Epidemiology Study Gothenburg in Sweden. The BMI of each participant was calculated from weight and height measurements taken at age 8 and 20 and the cohort was followed from age 30 until T2D diagnosis, migration, death, or study end date (average follow-up, 28.3 years).</w:t>
      </w:r>
    </w:p>
    <w:p w:rsidR="00203FD8" w:rsidRPr="00203FD8" w:rsidRDefault="00203FD8" w:rsidP="00203FD8">
      <w:pPr>
        <w:shd w:val="clear" w:color="auto" w:fill="FFFFFF"/>
        <w:spacing w:after="240" w:line="240" w:lineRule="auto"/>
        <w:rPr>
          <w:rFonts w:ascii="Arial" w:eastAsia="Times New Roman" w:hAnsi="Arial" w:cs="Arial"/>
          <w:color w:val="333333"/>
          <w:sz w:val="27"/>
          <w:szCs w:val="27"/>
        </w:rPr>
      </w:pPr>
      <w:r w:rsidRPr="00203FD8">
        <w:rPr>
          <w:rFonts w:ascii="Arial" w:eastAsia="Times New Roman" w:hAnsi="Arial" w:cs="Arial"/>
          <w:color w:val="333333"/>
          <w:sz w:val="27"/>
          <w:szCs w:val="27"/>
        </w:rPr>
        <w:t>In total, 1777 participants were diagnosed with T2D before the end of follow-up with a median age of 55.7 at diagnosis. The researchers discovered that high childhood BMI was nonlinearly associated with an elevated risk for T2D. This risk was strongest in participants who were </w:t>
      </w:r>
      <w:hyperlink r:id="rId7" w:tgtFrame="_self" w:history="1">
        <w:r w:rsidRPr="00203FD8">
          <w:rPr>
            <w:rFonts w:ascii="Arial" w:eastAsia="Times New Roman" w:hAnsi="Arial" w:cs="Arial"/>
            <w:color w:val="666666"/>
            <w:sz w:val="27"/>
            <w:u w:val="single"/>
          </w:rPr>
          <w:t>overweight</w:t>
        </w:r>
      </w:hyperlink>
      <w:r w:rsidRPr="00203FD8">
        <w:rPr>
          <w:rFonts w:ascii="Arial" w:eastAsia="Times New Roman" w:hAnsi="Arial" w:cs="Arial"/>
          <w:color w:val="333333"/>
          <w:sz w:val="27"/>
          <w:szCs w:val="27"/>
        </w:rPr>
        <w:t> during childhood compared with normal-weight children (hazard ratio [HR], 2.09).</w:t>
      </w:r>
    </w:p>
    <w:p w:rsidR="00203FD8" w:rsidRPr="00203FD8" w:rsidRDefault="00203FD8" w:rsidP="00203FD8">
      <w:pPr>
        <w:shd w:val="clear" w:color="auto" w:fill="FFFFFF"/>
        <w:spacing w:after="240" w:line="240" w:lineRule="auto"/>
        <w:rPr>
          <w:rFonts w:ascii="Arial" w:eastAsia="Times New Roman" w:hAnsi="Arial" w:cs="Arial"/>
          <w:color w:val="333333"/>
          <w:sz w:val="27"/>
          <w:szCs w:val="27"/>
        </w:rPr>
      </w:pPr>
      <w:r w:rsidRPr="00203FD8">
        <w:rPr>
          <w:rFonts w:ascii="Arial" w:eastAsia="Times New Roman" w:hAnsi="Arial" w:cs="Arial"/>
          <w:color w:val="333333"/>
          <w:sz w:val="27"/>
          <w:szCs w:val="27"/>
        </w:rPr>
        <w:t>Men who normalized their weight during puberty showed no significant increase in the risk for T2D; the HR for developing T2D at age ≤55.7 was 1.28 and 1.35 for men who were age &gt;55.7 in this population. However, compared with men who were never overweight, the risk for T2D was significantly higher in men who became overweight during puberty (HR, 4.67 at age ≤55.7; HR, 2.85 at age &gt;55.7) and men who were overweight in childhood/young adulthood (HR, 4.82 at age ≤55.7; HR, 3.04 at age &gt;55.7).</w:t>
      </w:r>
    </w:p>
    <w:p w:rsidR="00203FD8" w:rsidRPr="00203FD8" w:rsidRDefault="00203FD8" w:rsidP="00203FD8">
      <w:pPr>
        <w:shd w:val="clear" w:color="auto" w:fill="FFFFFF"/>
        <w:spacing w:after="240" w:line="240" w:lineRule="auto"/>
        <w:rPr>
          <w:rFonts w:ascii="Arial" w:eastAsia="Times New Roman" w:hAnsi="Arial" w:cs="Arial"/>
          <w:color w:val="333333"/>
          <w:sz w:val="27"/>
          <w:szCs w:val="27"/>
        </w:rPr>
      </w:pPr>
      <w:r w:rsidRPr="00203FD8">
        <w:rPr>
          <w:rFonts w:ascii="Arial" w:eastAsia="Times New Roman" w:hAnsi="Arial" w:cs="Arial"/>
          <w:b/>
          <w:bCs/>
          <w:color w:val="333333"/>
          <w:sz w:val="27"/>
          <w:szCs w:val="27"/>
        </w:rPr>
        <w:t>Reference</w:t>
      </w:r>
    </w:p>
    <w:p w:rsidR="00203FD8" w:rsidRPr="00203FD8" w:rsidRDefault="00203FD8" w:rsidP="00203FD8">
      <w:pPr>
        <w:shd w:val="clear" w:color="auto" w:fill="FFFFFF"/>
        <w:spacing w:after="240" w:line="240" w:lineRule="auto"/>
        <w:rPr>
          <w:rFonts w:ascii="Arial" w:eastAsia="Times New Roman" w:hAnsi="Arial" w:cs="Arial"/>
          <w:color w:val="333333"/>
          <w:sz w:val="27"/>
          <w:szCs w:val="27"/>
        </w:rPr>
      </w:pPr>
      <w:r w:rsidRPr="00203FD8">
        <w:rPr>
          <w:rFonts w:ascii="Arial" w:eastAsia="Times New Roman" w:hAnsi="Arial" w:cs="Arial"/>
          <w:color w:val="333333"/>
          <w:sz w:val="27"/>
          <w:szCs w:val="27"/>
        </w:rPr>
        <w:t>Ohlsson C, Bygdell M, Nethander M, Rosengren A, Kindblom JM. </w:t>
      </w:r>
      <w:hyperlink r:id="rId8" w:tgtFrame="_blank" w:history="1">
        <w:r w:rsidRPr="00203FD8">
          <w:rPr>
            <w:rFonts w:ascii="Arial" w:eastAsia="Times New Roman" w:hAnsi="Arial" w:cs="Arial"/>
            <w:color w:val="666666"/>
            <w:sz w:val="27"/>
            <w:u w:val="single"/>
          </w:rPr>
          <w:t>BMI change during puberty is an important determinant of adult type 2 diabetes risk in men</w:t>
        </w:r>
      </w:hyperlink>
      <w:r w:rsidRPr="00203FD8">
        <w:rPr>
          <w:rFonts w:ascii="Arial" w:eastAsia="Times New Roman" w:hAnsi="Arial" w:cs="Arial"/>
          <w:color w:val="333333"/>
          <w:sz w:val="27"/>
          <w:szCs w:val="27"/>
        </w:rPr>
        <w:t> [published online December 4, 2018]. </w:t>
      </w:r>
      <w:r w:rsidRPr="00203FD8">
        <w:rPr>
          <w:rFonts w:ascii="Arial" w:eastAsia="Times New Roman" w:hAnsi="Arial" w:cs="Arial"/>
          <w:i/>
          <w:iCs/>
          <w:color w:val="333333"/>
          <w:sz w:val="27"/>
          <w:szCs w:val="27"/>
        </w:rPr>
        <w:t>J Clin Endocrinol Metab.</w:t>
      </w:r>
      <w:r w:rsidRPr="00203FD8">
        <w:rPr>
          <w:rFonts w:ascii="Arial" w:eastAsia="Times New Roman" w:hAnsi="Arial" w:cs="Arial"/>
          <w:color w:val="333333"/>
          <w:sz w:val="27"/>
          <w:szCs w:val="27"/>
        </w:rPr>
        <w:t> doi:10.1210/jc.2018-01339</w:t>
      </w:r>
    </w:p>
    <w:p w:rsidR="007F526B" w:rsidRDefault="007F526B"/>
    <w:sectPr w:rsidR="007F526B" w:rsidSect="007F5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4CE2"/>
    <w:multiLevelType w:val="multilevel"/>
    <w:tmpl w:val="748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A5450"/>
    <w:multiLevelType w:val="multilevel"/>
    <w:tmpl w:val="039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3FD8"/>
    <w:rsid w:val="00203FD8"/>
    <w:rsid w:val="007F5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6B"/>
  </w:style>
  <w:style w:type="paragraph" w:styleId="Heading1">
    <w:name w:val="heading 1"/>
    <w:basedOn w:val="Normal"/>
    <w:link w:val="Heading1Char"/>
    <w:uiPriority w:val="9"/>
    <w:qFormat/>
    <w:rsid w:val="00203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03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F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03FD8"/>
    <w:rPr>
      <w:rFonts w:ascii="Times New Roman" w:eastAsia="Times New Roman" w:hAnsi="Times New Roman" w:cs="Times New Roman"/>
      <w:b/>
      <w:bCs/>
      <w:sz w:val="27"/>
      <w:szCs w:val="27"/>
    </w:rPr>
  </w:style>
  <w:style w:type="character" w:customStyle="1" w:styleId="name">
    <w:name w:val="name"/>
    <w:basedOn w:val="DefaultParagraphFont"/>
    <w:rsid w:val="00203FD8"/>
  </w:style>
  <w:style w:type="character" w:styleId="Hyperlink">
    <w:name w:val="Hyperlink"/>
    <w:basedOn w:val="DefaultParagraphFont"/>
    <w:uiPriority w:val="99"/>
    <w:semiHidden/>
    <w:unhideWhenUsed/>
    <w:rsid w:val="00203FD8"/>
    <w:rPr>
      <w:color w:val="0000FF"/>
      <w:u w:val="single"/>
    </w:rPr>
  </w:style>
  <w:style w:type="character" w:customStyle="1" w:styleId="screen-reader-text">
    <w:name w:val="screen-reader-text"/>
    <w:basedOn w:val="DefaultParagraphFont"/>
    <w:rsid w:val="00203FD8"/>
  </w:style>
  <w:style w:type="paragraph" w:styleId="NormalWeb">
    <w:name w:val="Normal (Web)"/>
    <w:basedOn w:val="Normal"/>
    <w:uiPriority w:val="99"/>
    <w:semiHidden/>
    <w:unhideWhenUsed/>
    <w:rsid w:val="00203F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312277">
      <w:bodyDiv w:val="1"/>
      <w:marLeft w:val="0"/>
      <w:marRight w:val="0"/>
      <w:marTop w:val="0"/>
      <w:marBottom w:val="0"/>
      <w:divBdr>
        <w:top w:val="none" w:sz="0" w:space="0" w:color="auto"/>
        <w:left w:val="none" w:sz="0" w:space="0" w:color="auto"/>
        <w:bottom w:val="none" w:sz="0" w:space="0" w:color="auto"/>
        <w:right w:val="none" w:sz="0" w:space="0" w:color="auto"/>
      </w:divBdr>
      <w:divsChild>
        <w:div w:id="2440825">
          <w:marLeft w:val="0"/>
          <w:marRight w:val="0"/>
          <w:marTop w:val="0"/>
          <w:marBottom w:val="0"/>
          <w:divBdr>
            <w:top w:val="none" w:sz="0" w:space="0" w:color="auto"/>
            <w:left w:val="none" w:sz="0" w:space="0" w:color="auto"/>
            <w:bottom w:val="none" w:sz="0" w:space="0" w:color="auto"/>
            <w:right w:val="none" w:sz="0" w:space="0" w:color="auto"/>
          </w:divBdr>
          <w:divsChild>
            <w:div w:id="1306813000">
              <w:marLeft w:val="0"/>
              <w:marRight w:val="0"/>
              <w:marTop w:val="0"/>
              <w:marBottom w:val="0"/>
              <w:divBdr>
                <w:top w:val="none" w:sz="0" w:space="0" w:color="auto"/>
                <w:left w:val="none" w:sz="0" w:space="0" w:color="auto"/>
                <w:bottom w:val="none" w:sz="0" w:space="0" w:color="auto"/>
                <w:right w:val="none" w:sz="0" w:space="0" w:color="auto"/>
              </w:divBdr>
              <w:divsChild>
                <w:div w:id="306134005">
                  <w:marLeft w:val="0"/>
                  <w:marRight w:val="0"/>
                  <w:marTop w:val="0"/>
                  <w:marBottom w:val="0"/>
                  <w:divBdr>
                    <w:top w:val="none" w:sz="0" w:space="0" w:color="auto"/>
                    <w:left w:val="none" w:sz="0" w:space="0" w:color="auto"/>
                    <w:bottom w:val="none" w:sz="0" w:space="0" w:color="auto"/>
                    <w:right w:val="none" w:sz="0" w:space="0" w:color="auto"/>
                  </w:divBdr>
                  <w:divsChild>
                    <w:div w:id="10237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3628">
          <w:marLeft w:val="0"/>
          <w:marRight w:val="0"/>
          <w:marTop w:val="0"/>
          <w:marBottom w:val="0"/>
          <w:divBdr>
            <w:top w:val="none" w:sz="0" w:space="0" w:color="auto"/>
            <w:left w:val="none" w:sz="0" w:space="0" w:color="auto"/>
            <w:bottom w:val="none" w:sz="0" w:space="0" w:color="auto"/>
            <w:right w:val="none" w:sz="0" w:space="0" w:color="auto"/>
          </w:divBdr>
        </w:div>
        <w:div w:id="2001543818">
          <w:marLeft w:val="0"/>
          <w:marRight w:val="0"/>
          <w:marTop w:val="0"/>
          <w:marBottom w:val="0"/>
          <w:divBdr>
            <w:top w:val="none" w:sz="0" w:space="0" w:color="auto"/>
            <w:left w:val="none" w:sz="0" w:space="0" w:color="auto"/>
            <w:bottom w:val="none" w:sz="0" w:space="0" w:color="auto"/>
            <w:right w:val="none" w:sz="0" w:space="0" w:color="auto"/>
          </w:divBdr>
        </w:div>
        <w:div w:id="516388438">
          <w:marLeft w:val="0"/>
          <w:marRight w:val="0"/>
          <w:marTop w:val="0"/>
          <w:marBottom w:val="0"/>
          <w:divBdr>
            <w:top w:val="none" w:sz="0" w:space="0" w:color="auto"/>
            <w:left w:val="none" w:sz="0" w:space="0" w:color="auto"/>
            <w:bottom w:val="none" w:sz="0" w:space="0" w:color="auto"/>
            <w:right w:val="none" w:sz="0" w:space="0" w:color="auto"/>
          </w:divBdr>
          <w:divsChild>
            <w:div w:id="1136408387">
              <w:marLeft w:val="0"/>
              <w:marRight w:val="0"/>
              <w:marTop w:val="0"/>
              <w:marBottom w:val="0"/>
              <w:divBdr>
                <w:top w:val="none" w:sz="0" w:space="0" w:color="auto"/>
                <w:left w:val="none" w:sz="0" w:space="0" w:color="auto"/>
                <w:bottom w:val="none" w:sz="0" w:space="0" w:color="auto"/>
                <w:right w:val="none" w:sz="0" w:space="0" w:color="auto"/>
              </w:divBdr>
              <w:divsChild>
                <w:div w:id="20962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10/jc.2018-01339" TargetMode="External"/><Relationship Id="rId3" Type="http://schemas.openxmlformats.org/officeDocument/2006/relationships/settings" Target="settings.xml"/><Relationship Id="rId7" Type="http://schemas.openxmlformats.org/officeDocument/2006/relationships/hyperlink" Target="https://www.endocrinologyadvisor.com/home/topics/obesity/children-with-autism-more-likely-to-be-overweight-or-ob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docrinologyadvisor.com/home/topics/obesity/initial-art-therapy-increases-fat-and-lean-body-mass-in-patients-with-hi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2019-02-22T04:39:00Z</dcterms:created>
  <dcterms:modified xsi:type="dcterms:W3CDTF">2019-02-22T04:40:00Z</dcterms:modified>
</cp:coreProperties>
</file>